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28"/>
          <w:szCs w:val="28"/>
        </w:rPr>
        <w:t xml:space="preserve">AUTO DE ENTREGA DAS CHAVES / KEY HANDOVER REPORT</w:t>
      </w:r>
    </w:p>
    <w:p>
      <w:pPr>
        <w:spacing w:after="60"/>
        <w:jc w:val="center"/>
      </w:pPr>
      <w:r>
        <w:rPr>
          <w:color w:val="333333"/>
          <w:sz w:val="19"/>
          <w:szCs w:val="19"/>
        </w:rPr>
        <w:t xml:space="preserve">Entrega inicial ao Arrendatário ou devolução final ao Senhorio — arrendamento habitacional</w:t>
      </w:r>
      <w:r>
        <w:rPr>
          <w:color w:val="333333"/>
          <w:sz w:val="19"/>
          <w:szCs w:val="19"/>
        </w:rPr>
        <w:t xml:space="preserve"> / </w:t>
      </w:r>
      <w:r>
        <w:rPr>
          <w:i/>
          <w:iCs/>
          <w:color w:val="333333"/>
          <w:sz w:val="19"/>
          <w:szCs w:val="19"/>
        </w:rPr>
        <w:t xml:space="preserve">Initial handover to the Tenant or final return to the Landlord — residential lease</w:t>
      </w:r>
    </w:p>
    <w:p>
      <w:pPr>
        <w:spacing w:after="220"/>
        <w:jc w:val="center"/>
      </w:pPr>
      <w:r>
        <w:rPr>
          <w:rFonts w:ascii="Arial" w:cs="Arial" w:eastAsia="Arial" w:hAnsi="Arial"/>
          <w:i/>
          <w:iCs/>
          <w:color w:val="5B6770"/>
          <w:sz w:val="16"/>
          <w:szCs w:val="16"/>
        </w:rPr>
        <w:t xml:space="preserve">Documento bilingue: em caso de divergência, prevalece a versão portuguesa. / Bilingual document: in case of discrepancy, the Portuguese version prevails.</w:t>
      </w:r>
    </w:p>
    <w:p>
      <w:pPr>
        <w:spacing w:after="90"/>
        <w:ind w:left="200"/>
      </w:pPr>
      <w:r>
        <w:t xml:space="preserve">☐  </w:t>
      </w:r>
      <w:r>
        <w:t xml:space="preserve">Entrega ao Arrendatário — início do contrato de arrendamento</w:t>
      </w:r>
      <w:r>
        <w:t xml:space="preserve"> / </w:t>
      </w:r>
      <w:r>
        <w:rPr>
          <w:i/>
          <w:iCs/>
        </w:rPr>
        <w:t xml:space="preserve">Handover to the Tenant — start of the lease agreement</w:t>
      </w:r>
    </w:p>
    <w:p>
      <w:pPr>
        <w:spacing w:after="90"/>
        <w:ind w:left="200"/>
      </w:pPr>
      <w:r>
        <w:t xml:space="preserve">☐  </w:t>
      </w:r>
      <w:r>
        <w:t xml:space="preserve">Devolução ao Senhorio — cessação do contrato de arrendamento</w:t>
      </w:r>
      <w:r>
        <w:t xml:space="preserve"> / </w:t>
      </w:r>
      <w:r>
        <w:rPr>
          <w:i/>
          <w:iCs/>
        </w:rPr>
        <w:t xml:space="preserve">Return to the Landlord — end of the lease agreement</w:t>
      </w:r>
    </w:p>
    <w:p>
      <w:pPr>
        <w:keepNext/>
        <w:pBdr>
          <w:bottom w:val="single" w:color="333333" w:sz="6" w:space="2"/>
        </w:pBdr>
        <w:spacing w:after="120" w:before="260"/>
      </w:pPr>
      <w:r>
        <w:rPr>
          <w:b/>
          <w:bCs/>
          <w:sz w:val="21"/>
          <w:szCs w:val="21"/>
        </w:rPr>
        <w:t xml:space="preserve">IDENTIFICAÇÃO DO IMÓVEL E DAS PARTES</w:t>
      </w:r>
      <w:r>
        <w:rPr>
          <w:b/>
          <w:bCs/>
          <w:sz w:val="21"/>
          <w:szCs w:val="21"/>
        </w:rPr>
        <w:t xml:space="preserve"> / </w:t>
      </w:r>
      <w:r>
        <w:rPr>
          <w:b/>
          <w:bCs/>
          <w:i/>
          <w:iCs/>
          <w:sz w:val="21"/>
          <w:szCs w:val="21"/>
        </w:rPr>
        <w:t xml:space="preserve">PROPERTY AND PARTIES IDENTIFICATION</w:t>
      </w:r>
    </w:p>
    <w:p>
      <w:pPr>
        <w:tabs>
          <w:tab w:val="right" w:pos="9746" w:leader="dot"/>
        </w:tabs>
        <w:spacing w:after="160"/>
      </w:pPr>
      <w:r>
        <w:t xml:space="preserve">Morada do imóvel</w:t>
      </w:r>
      <w:r>
        <w:t xml:space="preserve"> / </w:t>
      </w:r>
      <w:r>
        <w:rPr>
          <w:i/>
          <w:iCs/>
        </w:rPr>
        <w:t xml:space="preserve">Property address</w:t>
      </w:r>
      <w:r>
        <w:t xml:space="preserve">: </w:t>
      </w:r>
      <w:r>
        <w:t xml:space="preserve">	</w:t>
      </w:r>
    </w:p>
    <w:p>
      <w:pPr>
        <w:tabs>
          <w:tab w:val="right" w:pos="9746" w:leader="dot"/>
        </w:tabs>
        <w:spacing w:after="160"/>
      </w:pPr>
      <w:r>
        <w:t xml:space="preserve">Referência do contrato de arrendamento</w:t>
      </w:r>
      <w:r>
        <w:t xml:space="preserve"> / </w:t>
      </w:r>
      <w:r>
        <w:rPr>
          <w:i/>
          <w:iCs/>
        </w:rPr>
        <w:t xml:space="preserve">Lease agreement reference</w:t>
      </w:r>
      <w:r>
        <w:t xml:space="preserve">: </w:t>
      </w:r>
      <w:r>
        <w:t xml:space="preserve">	</w:t>
      </w:r>
    </w:p>
    <w:p>
      <w:pPr>
        <w:tabs>
          <w:tab w:val="right" w:pos="9746" w:leader="dot"/>
        </w:tabs>
        <w:spacing w:after="160"/>
      </w:pPr>
      <w:r>
        <w:t xml:space="preserve">Data e hora</w:t>
      </w:r>
      <w:r>
        <w:t xml:space="preserve"> / </w:t>
      </w:r>
      <w:r>
        <w:rPr>
          <w:i/>
          <w:iCs/>
        </w:rPr>
        <w:t xml:space="preserve">Date and time</w:t>
      </w:r>
      <w:r>
        <w:t xml:space="preserve">: </w:t>
      </w:r>
      <w:r>
        <w:t xml:space="preserve">	</w:t>
      </w:r>
    </w:p>
    <w:p>
      <w:pPr>
        <w:tabs>
          <w:tab w:val="right" w:pos="9746" w:leader="dot"/>
        </w:tabs>
        <w:spacing w:after="160"/>
      </w:pPr>
      <w:r>
        <w:t xml:space="preserve">Senhorio (nome completo)</w:t>
      </w:r>
      <w:r>
        <w:t xml:space="preserve"> / </w:t>
      </w:r>
      <w:r>
        <w:rPr>
          <w:i/>
          <w:iCs/>
        </w:rPr>
        <w:t xml:space="preserve">Landlord (full name)</w:t>
      </w:r>
      <w:r>
        <w:t xml:space="preserve">: </w:t>
      </w:r>
      <w:r>
        <w:t xml:space="preserve">	</w:t>
      </w:r>
    </w:p>
    <w:p>
      <w:pPr>
        <w:tabs>
          <w:tab w:val="right" w:pos="9746" w:leader="dot"/>
        </w:tabs>
        <w:spacing w:after="160"/>
      </w:pPr>
      <w:r>
        <w:t xml:space="preserve">Arrendatário (nome completo)</w:t>
      </w:r>
      <w:r>
        <w:t xml:space="preserve"> / </w:t>
      </w:r>
      <w:r>
        <w:rPr>
          <w:i/>
          <w:iCs/>
        </w:rPr>
        <w:t xml:space="preserve">Tenant (full name)</w:t>
      </w:r>
      <w:r>
        <w:t xml:space="preserve">: </w:t>
      </w:r>
      <w:r>
        <w:t xml:space="preserve">	</w:t>
      </w:r>
    </w:p>
    <w:p>
      <w:pPr>
        <w:keepNext/>
        <w:pBdr>
          <w:bottom w:val="single" w:color="333333" w:sz="6" w:space="2"/>
        </w:pBdr>
        <w:spacing w:after="120" w:before="260"/>
      </w:pPr>
      <w:r>
        <w:rPr>
          <w:b/>
          <w:bCs/>
          <w:sz w:val="21"/>
          <w:szCs w:val="21"/>
        </w:rPr>
        <w:t xml:space="preserve">CHAVES ENTREGUES</w:t>
      </w:r>
      <w:r>
        <w:rPr>
          <w:b/>
          <w:bCs/>
          <w:sz w:val="21"/>
          <w:szCs w:val="21"/>
        </w:rPr>
        <w:t xml:space="preserve"> / </w:t>
      </w:r>
      <w:r>
        <w:rPr>
          <w:b/>
          <w:bCs/>
          <w:i/>
          <w:iCs/>
          <w:sz w:val="21"/>
          <w:szCs w:val="21"/>
        </w:rPr>
        <w:t xml:space="preserve">KEYS HANDED OVER</w:t>
      </w:r>
    </w:p>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gridCol w:w="100"/>
      </w:tblGrid>
      <w:tr>
        <w:trPr>
          <w:tblHeader/>
        </w:trPr>
        <w:tc>
          <w:tcPr>
            <w:tcW w:type="pct" w:w="45%"/>
            <w:shd w:fill="F3F8F9" w:val="clear"/>
          </w:tcPr>
          <w:p>
            <w:r>
              <w:rPr>
                <w:rFonts w:ascii="Arial" w:cs="Arial" w:eastAsia="Arial" w:hAnsi="Arial"/>
                <w:b/>
                <w:bCs/>
                <w:sz w:val="16"/>
                <w:szCs w:val="16"/>
              </w:rPr>
              <w:t xml:space="preserve">TIPO</w:t>
            </w:r>
            <w:r>
              <w:rPr>
                <w:rFonts w:ascii="Arial" w:cs="Arial" w:eastAsia="Arial" w:hAnsi="Arial"/>
                <w:b/>
                <w:bCs/>
                <w:sz w:val="16"/>
                <w:szCs w:val="16"/>
              </w:rPr>
              <w:t xml:space="preserve"> / </w:t>
            </w:r>
            <w:r>
              <w:rPr>
                <w:rFonts w:ascii="Arial" w:cs="Arial" w:eastAsia="Arial" w:hAnsi="Arial"/>
                <w:b/>
                <w:bCs/>
                <w:i/>
                <w:iCs/>
                <w:sz w:val="16"/>
                <w:szCs w:val="16"/>
              </w:rPr>
              <w:t xml:space="preserve">TYPE</w:t>
            </w:r>
          </w:p>
        </w:tc>
        <w:tc>
          <w:tcPr>
            <w:tcW w:type="pct" w:w="15%"/>
            <w:shd w:fill="F3F8F9" w:val="clear"/>
          </w:tcPr>
          <w:p>
            <w:r>
              <w:rPr>
                <w:rFonts w:ascii="Arial" w:cs="Arial" w:eastAsia="Arial" w:hAnsi="Arial"/>
                <w:b/>
                <w:bCs/>
                <w:sz w:val="16"/>
                <w:szCs w:val="16"/>
              </w:rPr>
              <w:t xml:space="preserve">QUANTIDADE</w:t>
            </w:r>
            <w:r>
              <w:rPr>
                <w:rFonts w:ascii="Arial" w:cs="Arial" w:eastAsia="Arial" w:hAnsi="Arial"/>
                <w:b/>
                <w:bCs/>
                <w:sz w:val="16"/>
                <w:szCs w:val="16"/>
              </w:rPr>
              <w:t xml:space="preserve"> / </w:t>
            </w:r>
            <w:r>
              <w:rPr>
                <w:rFonts w:ascii="Arial" w:cs="Arial" w:eastAsia="Arial" w:hAnsi="Arial"/>
                <w:b/>
                <w:bCs/>
                <w:i/>
                <w:iCs/>
                <w:sz w:val="16"/>
                <w:szCs w:val="16"/>
              </w:rPr>
              <w:t xml:space="preserve">QUANTITY</w:t>
            </w:r>
          </w:p>
        </w:tc>
        <w:tc>
          <w:tcPr>
            <w:tcW w:type="pct" w:w="40%"/>
            <w:shd w:fill="F3F8F9" w:val="clear"/>
          </w:tcPr>
          <w:p>
            <w:r>
              <w:rPr>
                <w:rFonts w:ascii="Arial" w:cs="Arial" w:eastAsia="Arial" w:hAnsi="Arial"/>
                <w:b/>
                <w:bCs/>
                <w:sz w:val="16"/>
                <w:szCs w:val="16"/>
              </w:rPr>
              <w:t xml:space="preserve">OBSERVAÇÕES</w:t>
            </w:r>
            <w:r>
              <w:rPr>
                <w:rFonts w:ascii="Arial" w:cs="Arial" w:eastAsia="Arial" w:hAnsi="Arial"/>
                <w:b/>
                <w:bCs/>
                <w:sz w:val="16"/>
                <w:szCs w:val="16"/>
              </w:rPr>
              <w:t xml:space="preserve"> / </w:t>
            </w:r>
            <w:r>
              <w:rPr>
                <w:rFonts w:ascii="Arial" w:cs="Arial" w:eastAsia="Arial" w:hAnsi="Arial"/>
                <w:b/>
                <w:bCs/>
                <w:i/>
                <w:iCs/>
                <w:sz w:val="16"/>
                <w:szCs w:val="16"/>
              </w:rPr>
              <w:t xml:space="preserve">NOTES</w:t>
            </w:r>
          </w:p>
        </w:tc>
      </w:tr>
      <w:tr>
        <w:tc>
          <w:tcPr>
            <w:tcW w:type="pct" w:w="45%"/>
          </w:tcPr>
          <w:p>
            <w:r>
              <w:rPr>
                <w:sz w:val="19"/>
                <w:szCs w:val="19"/>
              </w:rPr>
              <w:t xml:space="preserve">Porta principal</w:t>
            </w:r>
            <w:r>
              <w:rPr>
                <w:sz w:val="19"/>
                <w:szCs w:val="19"/>
              </w:rPr>
              <w:t xml:space="preserve"> / </w:t>
            </w:r>
            <w:r>
              <w:rPr>
                <w:i/>
                <w:iCs/>
                <w:sz w:val="19"/>
                <w:szCs w:val="19"/>
              </w:rPr>
              <w:t xml:space="preserve">Front door</w:t>
            </w:r>
          </w:p>
        </w:tc>
        <w:tc>
          <w:tcPr>
            <w:tcW w:type="pct" w:w="15%"/>
          </w:tcPr>
          <w:p>
            <w:r>
              <w:rPr>
                <w:sz w:val="19"/>
                <w:szCs w:val="19"/>
              </w:rPr>
              <w:t xml:space="preserve"> </w:t>
            </w:r>
          </w:p>
        </w:tc>
        <w:tc>
          <w:tcPr>
            <w:tcW w:type="pct" w:w="40%"/>
          </w:tcPr>
          <w:p>
            <w:r>
              <w:rPr>
                <w:sz w:val="19"/>
                <w:szCs w:val="19"/>
              </w:rPr>
              <w:t xml:space="preserve"> </w:t>
            </w:r>
          </w:p>
        </w:tc>
      </w:tr>
      <w:tr>
        <w:tc>
          <w:tcPr>
            <w:tcW w:type="pct" w:w="45%"/>
          </w:tcPr>
          <w:p>
            <w:r>
              <w:rPr>
                <w:sz w:val="19"/>
                <w:szCs w:val="19"/>
              </w:rPr>
              <w:t xml:space="preserve">Porta do prédio</w:t>
            </w:r>
            <w:r>
              <w:rPr>
                <w:sz w:val="19"/>
                <w:szCs w:val="19"/>
              </w:rPr>
              <w:t xml:space="preserve"> / </w:t>
            </w:r>
            <w:r>
              <w:rPr>
                <w:i/>
                <w:iCs/>
                <w:sz w:val="19"/>
                <w:szCs w:val="19"/>
              </w:rPr>
              <w:t xml:space="preserve">Building entrance door</w:t>
            </w:r>
          </w:p>
        </w:tc>
        <w:tc>
          <w:tcPr>
            <w:tcW w:type="pct" w:w="15%"/>
          </w:tcPr>
          <w:p>
            <w:r>
              <w:rPr>
                <w:sz w:val="19"/>
                <w:szCs w:val="19"/>
              </w:rPr>
              <w:t xml:space="preserve"> </w:t>
            </w:r>
          </w:p>
        </w:tc>
        <w:tc>
          <w:tcPr>
            <w:tcW w:type="pct" w:w="40%"/>
          </w:tcPr>
          <w:p>
            <w:r>
              <w:rPr>
                <w:sz w:val="19"/>
                <w:szCs w:val="19"/>
              </w:rPr>
              <w:t xml:space="preserve"> </w:t>
            </w:r>
          </w:p>
        </w:tc>
      </w:tr>
      <w:tr>
        <w:tc>
          <w:tcPr>
            <w:tcW w:type="pct" w:w="45%"/>
          </w:tcPr>
          <w:p>
            <w:r>
              <w:rPr>
                <w:sz w:val="19"/>
                <w:szCs w:val="19"/>
              </w:rPr>
              <w:t xml:space="preserve">Caixa de correio</w:t>
            </w:r>
            <w:r>
              <w:rPr>
                <w:sz w:val="19"/>
                <w:szCs w:val="19"/>
              </w:rPr>
              <w:t xml:space="preserve"> / </w:t>
            </w:r>
            <w:r>
              <w:rPr>
                <w:i/>
                <w:iCs/>
                <w:sz w:val="19"/>
                <w:szCs w:val="19"/>
              </w:rPr>
              <w:t xml:space="preserve">Mailbox</w:t>
            </w:r>
          </w:p>
        </w:tc>
        <w:tc>
          <w:tcPr>
            <w:tcW w:type="pct" w:w="15%"/>
          </w:tcPr>
          <w:p>
            <w:r>
              <w:rPr>
                <w:sz w:val="19"/>
                <w:szCs w:val="19"/>
              </w:rPr>
              <w:t xml:space="preserve"> </w:t>
            </w:r>
          </w:p>
        </w:tc>
        <w:tc>
          <w:tcPr>
            <w:tcW w:type="pct" w:w="40%"/>
          </w:tcPr>
          <w:p>
            <w:r>
              <w:rPr>
                <w:sz w:val="19"/>
                <w:szCs w:val="19"/>
              </w:rPr>
              <w:t xml:space="preserve"> </w:t>
            </w:r>
          </w:p>
        </w:tc>
      </w:tr>
      <w:tr>
        <w:tc>
          <w:tcPr>
            <w:tcW w:type="pct" w:w="45%"/>
          </w:tcPr>
          <w:p>
            <w:r>
              <w:rPr>
                <w:sz w:val="19"/>
                <w:szCs w:val="19"/>
              </w:rPr>
              <w:t xml:space="preserve">Garagem</w:t>
            </w:r>
            <w:r>
              <w:rPr>
                <w:sz w:val="19"/>
                <w:szCs w:val="19"/>
              </w:rPr>
              <w:t xml:space="preserve"> / </w:t>
            </w:r>
            <w:r>
              <w:rPr>
                <w:i/>
                <w:iCs/>
                <w:sz w:val="19"/>
                <w:szCs w:val="19"/>
              </w:rPr>
              <w:t xml:space="preserve">Garage</w:t>
            </w:r>
          </w:p>
        </w:tc>
        <w:tc>
          <w:tcPr>
            <w:tcW w:type="pct" w:w="15%"/>
          </w:tcPr>
          <w:p>
            <w:r>
              <w:rPr>
                <w:sz w:val="19"/>
                <w:szCs w:val="19"/>
              </w:rPr>
              <w:t xml:space="preserve"> </w:t>
            </w:r>
          </w:p>
        </w:tc>
        <w:tc>
          <w:tcPr>
            <w:tcW w:type="pct" w:w="40%"/>
          </w:tcPr>
          <w:p>
            <w:r>
              <w:rPr>
                <w:sz w:val="19"/>
                <w:szCs w:val="19"/>
              </w:rPr>
              <w:t xml:space="preserve"> </w:t>
            </w:r>
          </w:p>
        </w:tc>
      </w:tr>
      <w:tr>
        <w:tc>
          <w:tcPr>
            <w:tcW w:type="pct" w:w="45%"/>
          </w:tcPr>
          <w:p>
            <w:r>
              <w:rPr>
                <w:sz w:val="19"/>
                <w:szCs w:val="19"/>
              </w:rPr>
              <w:t xml:space="preserve">Comando</w:t>
            </w:r>
            <w:r>
              <w:rPr>
                <w:sz w:val="19"/>
                <w:szCs w:val="19"/>
              </w:rPr>
              <w:t xml:space="preserve"> / </w:t>
            </w:r>
            <w:r>
              <w:rPr>
                <w:i/>
                <w:iCs/>
                <w:sz w:val="19"/>
                <w:szCs w:val="19"/>
              </w:rPr>
              <w:t xml:space="preserve">Remote control</w:t>
            </w:r>
          </w:p>
        </w:tc>
        <w:tc>
          <w:tcPr>
            <w:tcW w:type="pct" w:w="15%"/>
          </w:tcPr>
          <w:p>
            <w:r>
              <w:rPr>
                <w:sz w:val="19"/>
                <w:szCs w:val="19"/>
              </w:rPr>
              <w:t xml:space="preserve"> </w:t>
            </w:r>
          </w:p>
        </w:tc>
        <w:tc>
          <w:tcPr>
            <w:tcW w:type="pct" w:w="40%"/>
          </w:tcPr>
          <w:p>
            <w:r>
              <w:rPr>
                <w:sz w:val="19"/>
                <w:szCs w:val="19"/>
              </w:rPr>
              <w:t xml:space="preserve"> </w:t>
            </w:r>
          </w:p>
        </w:tc>
      </w:tr>
      <w:tr>
        <w:tc>
          <w:tcPr>
            <w:tcW w:type="pct" w:w="45%"/>
          </w:tcPr>
          <w:p>
            <w:r>
              <w:rPr>
                <w:sz w:val="19"/>
                <w:szCs w:val="19"/>
              </w:rPr>
              <w:t xml:space="preserve">Badge ou cartão de acesso</w:t>
            </w:r>
            <w:r>
              <w:rPr>
                <w:sz w:val="19"/>
                <w:szCs w:val="19"/>
              </w:rPr>
              <w:t xml:space="preserve"> / </w:t>
            </w:r>
            <w:r>
              <w:rPr>
                <w:i/>
                <w:iCs/>
                <w:sz w:val="19"/>
                <w:szCs w:val="19"/>
              </w:rPr>
              <w:t xml:space="preserve">Access badge or card</w:t>
            </w:r>
          </w:p>
        </w:tc>
        <w:tc>
          <w:tcPr>
            <w:tcW w:type="pct" w:w="15%"/>
          </w:tcPr>
          <w:p>
            <w:r>
              <w:rPr>
                <w:sz w:val="19"/>
                <w:szCs w:val="19"/>
              </w:rPr>
              <w:t xml:space="preserve"> </w:t>
            </w:r>
          </w:p>
        </w:tc>
        <w:tc>
          <w:tcPr>
            <w:tcW w:type="pct" w:w="40%"/>
          </w:tcPr>
          <w:p>
            <w:r>
              <w:rPr>
                <w:sz w:val="19"/>
                <w:szCs w:val="19"/>
              </w:rPr>
              <w:t xml:space="preserve"> </w:t>
            </w:r>
          </w:p>
        </w:tc>
      </w:tr>
      <w:tr>
        <w:tc>
          <w:tcPr>
            <w:tcW w:type="pct" w:w="45%"/>
          </w:tcPr>
          <w:p>
            <w:r>
              <w:rPr>
                <w:sz w:val="19"/>
                <w:szCs w:val="19"/>
              </w:rPr>
              <w:t xml:space="preserve">Outra</w:t>
            </w:r>
            <w:r>
              <w:rPr>
                <w:sz w:val="19"/>
                <w:szCs w:val="19"/>
              </w:rPr>
              <w:t xml:space="preserve"> / </w:t>
            </w:r>
            <w:r>
              <w:rPr>
                <w:i/>
                <w:iCs/>
                <w:sz w:val="19"/>
                <w:szCs w:val="19"/>
              </w:rPr>
              <w:t xml:space="preserve">Other</w:t>
            </w:r>
          </w:p>
        </w:tc>
        <w:tc>
          <w:tcPr>
            <w:tcW w:type="pct" w:w="15%"/>
          </w:tcPr>
          <w:p>
            <w:r>
              <w:rPr>
                <w:sz w:val="19"/>
                <w:szCs w:val="19"/>
              </w:rPr>
              <w:t xml:space="preserve"> </w:t>
            </w:r>
          </w:p>
        </w:tc>
        <w:tc>
          <w:tcPr>
            <w:tcW w:type="pct" w:w="40%"/>
          </w:tcPr>
          <w:p>
            <w:r>
              <w:rPr>
                <w:sz w:val="19"/>
                <w:szCs w:val="19"/>
              </w:rPr>
              <w:t xml:space="preserve"> </w:t>
            </w:r>
          </w:p>
        </w:tc>
      </w:tr>
      <w:tr>
        <w:tc>
          <w:tcPr>
            <w:tcW w:type="pct" w:w="45%"/>
          </w:tcPr>
          <w:p>
            <w:r>
              <w:rPr>
                <w:sz w:val="19"/>
                <w:szCs w:val="19"/>
              </w:rPr>
              <w:t xml:space="preserve"> </w:t>
            </w:r>
          </w:p>
        </w:tc>
        <w:tc>
          <w:tcPr>
            <w:tcW w:type="pct" w:w="15%"/>
          </w:tcPr>
          <w:p>
            <w:r>
              <w:rPr>
                <w:sz w:val="19"/>
                <w:szCs w:val="19"/>
              </w:rPr>
              <w:t xml:space="preserve"> </w:t>
            </w:r>
          </w:p>
        </w:tc>
        <w:tc>
          <w:tcPr>
            <w:tcW w:type="pct" w:w="40%"/>
          </w:tcPr>
          <w:p>
            <w:r>
              <w:rPr>
                <w:sz w:val="19"/>
                <w:szCs w:val="19"/>
              </w:rPr>
              <w:t xml:space="preserve"> </w:t>
            </w:r>
          </w:p>
        </w:tc>
      </w:tr>
      <w:tr>
        <w:tc>
          <w:tcPr>
            <w:tcW w:type="pct" w:w="45%"/>
          </w:tcPr>
          <w:p>
            <w:r>
              <w:rPr>
                <w:sz w:val="19"/>
                <w:szCs w:val="19"/>
              </w:rPr>
              <w:t xml:space="preserve"> </w:t>
            </w:r>
          </w:p>
        </w:tc>
        <w:tc>
          <w:tcPr>
            <w:tcW w:type="pct" w:w="15%"/>
          </w:tcPr>
          <w:p>
            <w:r>
              <w:rPr>
                <w:sz w:val="19"/>
                <w:szCs w:val="19"/>
              </w:rPr>
              <w:t xml:space="preserve"> </w:t>
            </w:r>
          </w:p>
        </w:tc>
        <w:tc>
          <w:tcPr>
            <w:tcW w:type="pct" w:w="40%"/>
          </w:tcPr>
          <w:p>
            <w:r>
              <w:rPr>
                <w:sz w:val="19"/>
                <w:szCs w:val="19"/>
              </w:rPr>
              <w:t xml:space="preserve"> </w:t>
            </w:r>
          </w:p>
        </w:tc>
      </w:tr>
    </w:tbl>
    <w:p>
      <w:pPr>
        <w:spacing w:after="60"/>
      </w:pPr>
    </w:p>
    <w:p>
      <w:pPr>
        <w:keepNext/>
        <w:pBdr>
          <w:bottom w:val="single" w:color="333333" w:sz="6" w:space="2"/>
        </w:pBdr>
        <w:spacing w:after="120" w:before="260"/>
      </w:pPr>
      <w:r>
        <w:rPr>
          <w:b/>
          <w:bCs/>
          <w:sz w:val="21"/>
          <w:szCs w:val="21"/>
        </w:rPr>
        <w:t xml:space="preserve">LEITURAS DE CONTADORES</w:t>
      </w:r>
      <w:r>
        <w:rPr>
          <w:b/>
          <w:bCs/>
          <w:sz w:val="21"/>
          <w:szCs w:val="21"/>
        </w:rPr>
        <w:t xml:space="preserve"> / </w:t>
      </w:r>
      <w:r>
        <w:rPr>
          <w:b/>
          <w:bCs/>
          <w:i/>
          <w:iCs/>
          <w:sz w:val="21"/>
          <w:szCs w:val="21"/>
        </w:rPr>
        <w:t xml:space="preserve">METER READINGS</w:t>
      </w:r>
    </w:p>
    <w:p>
      <w:pPr>
        <w:tabs>
          <w:tab w:val="right" w:pos="9746" w:leader="dot"/>
        </w:tabs>
        <w:spacing w:after="160"/>
      </w:pPr>
      <w:r>
        <w:t xml:space="preserve">Eletricidade — leitura do contador</w:t>
      </w:r>
      <w:r>
        <w:t xml:space="preserve"> / </w:t>
      </w:r>
      <w:r>
        <w:rPr>
          <w:i/>
          <w:iCs/>
        </w:rPr>
        <w:t xml:space="preserve">Electricity — meter reading</w:t>
      </w:r>
      <w:r>
        <w:t xml:space="preserve">: </w:t>
      </w:r>
      <w:r>
        <w:t xml:space="preserve">	</w:t>
      </w:r>
    </w:p>
    <w:p>
      <w:pPr>
        <w:tabs>
          <w:tab w:val="right" w:pos="9746" w:leader="dot"/>
        </w:tabs>
        <w:spacing w:after="160"/>
      </w:pPr>
      <w:r>
        <w:t xml:space="preserve">Gás — leitura do contador</w:t>
      </w:r>
      <w:r>
        <w:t xml:space="preserve"> / </w:t>
      </w:r>
      <w:r>
        <w:rPr>
          <w:i/>
          <w:iCs/>
        </w:rPr>
        <w:t xml:space="preserve">Gas — meter reading</w:t>
      </w:r>
      <w:r>
        <w:t xml:space="preserve">: </w:t>
      </w:r>
      <w:r>
        <w:t xml:space="preserve">	</w:t>
      </w:r>
    </w:p>
    <w:p>
      <w:pPr>
        <w:tabs>
          <w:tab w:val="right" w:pos="9746" w:leader="dot"/>
        </w:tabs>
        <w:spacing w:after="160"/>
      </w:pPr>
      <w:r>
        <w:t xml:space="preserve">Água — leitura do contador</w:t>
      </w:r>
      <w:r>
        <w:t xml:space="preserve"> / </w:t>
      </w:r>
      <w:r>
        <w:rPr>
          <w:i/>
          <w:iCs/>
        </w:rPr>
        <w:t xml:space="preserve">Water — meter reading</w:t>
      </w:r>
      <w:r>
        <w:t xml:space="preserve">: </w:t>
      </w:r>
      <w:r>
        <w:t xml:space="preserve">	</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parte recetora, acima identificada, declara ter recebido nesta data as chaves e os demais acessos discriminados no quadro «Chaves entregues», nas quantidades e no estado aí registados, para os efeitos do disposto no artigo 1043.º do Código Civil. Declara ainda ter conhecimento de que a presente entrega pode, ou não, ser acompanhada de vistoria ao imóvel, conforme assinalado de seguida.</w:t>
            </w:r>
          </w:p>
        </w:tc>
        <w:tc>
          <w:tcPr>
            <w:tcW w:type="pct" w:w="50%"/>
            <w:tcBorders>
              <w:top w:val="none" w:color="FFFFFF" w:sz="0"/>
              <w:left w:val="none" w:color="FFFFFF" w:sz="0"/>
              <w:bottom w:val="none" w:color="FFFFFF" w:sz="0"/>
              <w:right w:val="none" w:color="FFFFFF" w:sz="0"/>
            </w:tcBorders>
          </w:tcPr>
          <w:p>
            <w:pPr>
              <w:jc w:val="both"/>
            </w:pPr>
            <w:r>
              <w:rPr>
                <w:i/>
                <w:iCs/>
              </w:rPr>
              <w:t xml:space="preserve">The receiving party, identified above, declares having received on this date the keys and other access devices listed in the «Keys handed over» table, in the quantities and condition recorded there, for the purposes of article 1043 of the Civil Code. It further acknowledges that this handover may, or may not, be accompanied by a property inspection, as indicated below.</w:t>
            </w:r>
          </w:p>
        </w:tc>
      </w:tr>
    </w:tbl>
    <w:p>
      <w:pPr>
        <w:spacing w:after="90"/>
        <w:ind w:left="200"/>
      </w:pPr>
      <w:r>
        <w:t xml:space="preserve">☐  </w:t>
      </w:r>
      <w:r>
        <w:t xml:space="preserve">Auto de vistoria (entrada ou saída) realizado e anexo a este documento</w:t>
      </w:r>
      <w:r>
        <w:t xml:space="preserve"> / </w:t>
      </w:r>
      <w:r>
        <w:rPr>
          <w:i/>
          <w:iCs/>
        </w:rPr>
        <w:t xml:space="preserve">Property inspection report (move-in or move-out) carried out and attached to this document</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Quando este auto é utilizado na cessação do contrato, a entrega das chaves assinala a restituição do imóvel ao Senhorio (art. 1081.º, n.º 1, do Código Civil) e o início do processo de devolução da caução. Recomenda-se que a vistoria de saída seja realizada no mesmo momento, com registo fotográfico do estado do imóvel — esse registo é o principal suporte de prova para eventuais descontos na caução. Este auto documenta a entrega física das chaves; não substitui a comunicação de cessação do contrato quando esta for legalmente exigida.</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When this form is used at the end of the lease, handing over the keys marks the return of the property to the Landlord (art. 1081(1) of the Civil Code) and the start of the security deposit return process. It is recommended that the move-out inspection (vistoria de saída) be carried out at the same time, with photographic records of the property's condition — that record is the main evidence supporting any deposit deductions. This form documents the physical handover of the keys; it does not replace the formal notice ending the lease where one is legally required.</w:t>
            </w:r>
          </w:p>
        </w:tc>
      </w:tr>
    </w:tbl>
    <w:p>
      <w:pPr>
        <w:spacing w:after="200" w:before="300"/>
      </w:pPr>
      <w:r>
        <w:t xml:space="preserve">Feito em _____________________, aos ____ de ______________ de 20____</w:t>
      </w:r>
      <w:r>
        <w:rPr>
          <w:i/>
          <w:iCs/>
        </w:rPr>
        <w:t xml:space="preserve">  / Done at, on (date)</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0"/>
          <w:left w:type="dxa" w:w="200"/>
          <w:bottom w:type="dxa" w:w="0"/>
          <w:right w:type="dxa" w:w="200"/>
        </w:tblCellMar>
      </w:tblPr>
      <w:tblGrid>
        <w:gridCol w:w="100"/>
        <w:gridCol w:w="100"/>
      </w:tblGrid>
      <w:tr>
        <w:tc>
          <w:tcPr>
            <w:tcW w:type="pct" w:w="50%"/>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Quem entrega</w:t>
            </w:r>
            <w:r>
              <w:rPr>
                <w:sz w:val="19"/>
                <w:szCs w:val="19"/>
              </w:rPr>
              <w:t xml:space="preserve"> / </w:t>
            </w:r>
            <w:r>
              <w:rPr>
                <w:i/>
                <w:iCs/>
                <w:sz w:val="19"/>
                <w:szCs w:val="19"/>
              </w:rPr>
              <w:t xml:space="preserve">Handed over by</w:t>
            </w:r>
          </w:p>
          <w:p>
            <w:pPr>
              <w:jc w:val="center"/>
            </w:pPr>
            <w:r>
              <w:rPr>
                <w:color w:val="555555"/>
                <w:sz w:val="16"/>
                <w:szCs w:val="16"/>
              </w:rPr>
              <w:t xml:space="preserve">Senhorio na entrega inicial; Arrendatário na devolução final</w:t>
            </w:r>
            <w:r>
              <w:rPr>
                <w:color w:val="555555"/>
                <w:sz w:val="16"/>
                <w:szCs w:val="16"/>
              </w:rPr>
              <w:t xml:space="preserve"> / </w:t>
            </w:r>
            <w:r>
              <w:rPr>
                <w:i/>
                <w:iCs/>
                <w:color w:val="555555"/>
                <w:sz w:val="16"/>
                <w:szCs w:val="16"/>
              </w:rPr>
              <w:t xml:space="preserve">Landlord for the initial handover; Tenant for the final return</w:t>
            </w:r>
          </w:p>
        </w:tc>
        <w:tc>
          <w:tcPr>
            <w:tcW w:type="pct" w:w="50%"/>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Quem recebe</w:t>
            </w:r>
            <w:r>
              <w:rPr>
                <w:sz w:val="19"/>
                <w:szCs w:val="19"/>
              </w:rPr>
              <w:t xml:space="preserve"> / </w:t>
            </w:r>
            <w:r>
              <w:rPr>
                <w:i/>
                <w:iCs/>
                <w:sz w:val="19"/>
                <w:szCs w:val="19"/>
              </w:rPr>
              <w:t xml:space="preserve">Received by</w:t>
            </w:r>
          </w:p>
          <w:p>
            <w:pPr>
              <w:jc w:val="center"/>
            </w:pPr>
            <w:r>
              <w:rPr>
                <w:color w:val="555555"/>
                <w:sz w:val="16"/>
                <w:szCs w:val="16"/>
              </w:rPr>
              <w:t xml:space="preserve">Arrendatário na entrega inicial; Senhorio na devolução final</w:t>
            </w:r>
            <w:r>
              <w:rPr>
                <w:color w:val="555555"/>
                <w:sz w:val="16"/>
                <w:szCs w:val="16"/>
              </w:rPr>
              <w:t xml:space="preserve"> / </w:t>
            </w:r>
            <w:r>
              <w:rPr>
                <w:i/>
                <w:iCs/>
                <w:color w:val="555555"/>
                <w:sz w:val="16"/>
                <w:szCs w:val="16"/>
              </w:rPr>
              <w:t xml:space="preserve">Tenant for the initial handover; Landlord for the final return</w:t>
            </w:r>
          </w:p>
        </w:tc>
      </w:tr>
    </w:tbl>
    <w:p>
      <w:pPr>
        <w:spacing w:before="240"/>
      </w:pPr>
    </w:p>
    <w:tbl>
      <w:tblPr>
        <w:tblW w:type="pct" w:w="100%"/>
        <w:tblBorders>
          <w:top w:val="single" w:color="B8C7C7" w:sz="6"/>
          <w:left w:val="single" w:color="B8C7C7" w:sz="6"/>
          <w:bottom w:val="single" w:color="B8C7C7" w:sz="6"/>
          <w:right w:val="single" w:color="B8C7C7" w:sz="6"/>
          <w:insideH w:val="none" w:color="FFFFFF" w:sz="0"/>
          <w:insideV w:val="none" w:color="FFFFFF" w:sz="0"/>
        </w:tblBorders>
        <w:tblCellMar>
          <w:top w:type="dxa" w:w="140"/>
          <w:left w:type="dxa" w:w="200"/>
          <w:bottom w:type="dxa" w:w="140"/>
          <w:right w:type="dxa" w:w="200"/>
        </w:tblCellMar>
      </w:tblPr>
      <w:tblGrid>
        <w:gridCol w:w="100"/>
      </w:tblGrid>
      <w:tr>
        <w:tc>
          <w:tcPr>
            <w:tcBorders>
              <w:top w:val="none" w:color="FFFFFF" w:sz="0"/>
              <w:left w:val="none" w:color="FFFFFF" w:sz="0"/>
              <w:bottom w:val="none" w:color="FFFFFF" w:sz="0"/>
              <w:right w:val="none" w:color="FFFFFF" w:sz="0"/>
            </w:tcBorders>
            <w:shd w:fill="F6FAFA" w:val="clear"/>
          </w:tcPr>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Borders>
                    <w:top w:val="none" w:color="FFFFFF" w:sz="0"/>
                    <w:left w:val="none" w:color="FFFFFF" w:sz="0"/>
                    <w:bottom w:val="none" w:color="FFFFFF" w:sz="0"/>
                    <w:right w:val="none" w:color="FFFFFF" w:sz="0"/>
                  </w:tcBorders>
                </w:tcPr>
                <w:p>
                  <w:pPr>
                    <w:spacing w:after="80"/>
                  </w:pPr>
                  <w:r>
                    <w:rPr>
                      <w:rFonts w:ascii="Arial" w:cs="Arial" w:eastAsia="Arial" w:hAnsi="Arial"/>
                      <w:b/>
                      <w:bCs/>
                      <w:color w:val="00504F"/>
                      <w:sz w:val="20"/>
                      <w:szCs w:val="20"/>
                    </w:rPr>
                    <w:t xml:space="preserve">Gira os seus arrendamentos gratuitamente na app Aluseg</w:t>
                  </w:r>
                </w:p>
                <w:p>
                  <w:pPr>
                    <w:spacing w:after="40"/>
                    <w:ind w:left="160"/>
                  </w:pPr>
                  <w:r>
                    <w:rPr>
                      <w:rFonts w:ascii="Arial" w:cs="Arial" w:eastAsia="Arial" w:hAnsi="Arial"/>
                      <w:color w:val="333333"/>
                      <w:sz w:val="17"/>
                      <w:szCs w:val="17"/>
                    </w:rPr>
                    <w:t xml:space="preserve">• Registe a entrega de chaves e a vistoria associada diretamente na aplicação Aluseg, com histórico por contrato.</w:t>
                  </w:r>
                </w:p>
                <w:p>
                  <w:pPr>
                    <w:spacing w:after="40"/>
                    <w:ind w:left="160"/>
                  </w:pPr>
                  <w:r>
                    <w:rPr>
                      <w:rFonts w:ascii="Arial" w:cs="Arial" w:eastAsia="Arial" w:hAnsi="Arial"/>
                      <w:color w:val="333333"/>
                      <w:sz w:val="17"/>
                      <w:szCs w:val="17"/>
                    </w:rPr>
                    <w:t xml:space="preserve">• Conta gratuita — imóveis, inquilinos, contratos e documentos num só lugar</w:t>
                  </w:r>
                </w:p>
                <w:p>
                  <w:pPr>
                    <w:spacing w:after="40"/>
                    <w:ind w:left="160"/>
                  </w:pPr>
                  <w:r>
                    <w:rPr>
                      <w:rFonts w:ascii="Arial" w:cs="Arial" w:eastAsia="Arial" w:hAnsi="Arial"/>
                      <w:color w:val="333333"/>
                      <w:sz w:val="17"/>
                      <w:szCs w:val="17"/>
                    </w:rPr>
                    <w:t xml:space="preserve">• Comunicação do contrato à AT e recibos de renda eletrónicos</w:t>
                  </w:r>
                </w:p>
                <w:p>
                  <w:pPr>
                    <w:spacing w:after="40"/>
                    <w:ind w:left="160"/>
                  </w:pPr>
                  <w:r>
                    <w:rPr>
                      <w:rFonts w:ascii="Arial" w:cs="Arial" w:eastAsia="Arial" w:hAnsi="Arial"/>
                      <w:color w:val="333333"/>
                      <w:sz w:val="17"/>
                      <w:szCs w:val="17"/>
                    </w:rPr>
                    <w:t xml:space="preserve">• Atualização anual da renda calculada automaticamente (coeficiente INE)</w:t>
                  </w:r>
                </w:p>
                <w:p>
                  <w:pPr>
                    <w:spacing w:after="40"/>
                    <w:ind w:left="160"/>
                  </w:pPr>
                  <w:r>
                    <w:rPr>
                      <w:rFonts w:ascii="Arial" w:cs="Arial" w:eastAsia="Arial" w:hAnsi="Arial"/>
                      <w:color w:val="333333"/>
                      <w:sz w:val="17"/>
                      <w:szCs w:val="17"/>
                    </w:rPr>
                    <w:t xml:space="preserve">• Verificação de solvência de candidatos e avisos de prazos legais</w:t>
                  </w:r>
                </w:p>
                <w:p>
                  <w:pPr>
                    <w:spacing w:after="40" w:before="80"/>
                  </w:pPr>
                  <w:r>
                    <w:rPr>
                      <w:rFonts w:ascii="Arial" w:cs="Arial" w:eastAsia="Arial" w:hAnsi="Arial"/>
                      <w:color w:val="333333"/>
                      <w:sz w:val="17"/>
                      <w:szCs w:val="17"/>
                    </w:rPr>
                    <w:t xml:space="preserve">Crie a sua conta gratuita em </w:t>
                  </w:r>
                  <w:hyperlink w:history="1" r:id="rId_-kjybuvculasqigleaq6">
                    <w:r>
                      <w:rPr>
                        <w:rFonts w:ascii="Arial" w:cs="Arial" w:eastAsia="Arial" w:hAnsi="Arial"/>
                        <w:b/>
                        <w:bCs/>
                        <w:color w:val="005869"/>
                        <w:sz w:val="17"/>
                        <w:szCs w:val="17"/>
                      </w:rPr>
                      <w:t xml:space="preserve">app.aluseg.com</w:t>
                    </w:r>
                  </w:hyperlink>
                  <w:r>
                    <w:rPr>
                      <w:rFonts w:ascii="Arial" w:cs="Arial" w:eastAsia="Arial" w:hAnsi="Arial"/>
                      <w:color w:val="333333"/>
                      <w:sz w:val="17"/>
                      <w:szCs w:val="17"/>
                    </w:rPr>
                    <w:t xml:space="preserve"> — Sem cartão de crédito · Menos de 2 minutos</w:t>
                  </w:r>
                </w:p>
              </w:tc>
              <w:tc>
                <w:tcPr>
                  <w:tcW w:type="pct" w:w="50%"/>
                  <w:tcBorders>
                    <w:top w:val="none" w:color="FFFFFF" w:sz="0"/>
                    <w:left w:val="none" w:color="FFFFFF" w:sz="0"/>
                    <w:bottom w:val="none" w:color="FFFFFF" w:sz="0"/>
                    <w:right w:val="none" w:color="FFFFFF" w:sz="0"/>
                  </w:tcBorders>
                </w:tcPr>
                <w:p>
                  <w:pPr>
                    <w:spacing w:after="80"/>
                  </w:pPr>
                  <w:r>
                    <w:rPr>
                      <w:rFonts w:ascii="Arial" w:cs="Arial" w:eastAsia="Arial" w:hAnsi="Arial"/>
                      <w:b/>
                      <w:bCs/>
                      <w:color w:val="00504F"/>
                      <w:sz w:val="20"/>
                      <w:szCs w:val="20"/>
                    </w:rPr>
                    <w:t xml:space="preserve">Manage your rentals for free with the Aluseg app</w:t>
                  </w:r>
                </w:p>
                <w:p>
                  <w:pPr>
                    <w:spacing w:after="40"/>
                    <w:ind w:left="160"/>
                  </w:pPr>
                  <w:r>
                    <w:rPr>
                      <w:rFonts w:ascii="Arial" w:cs="Arial" w:eastAsia="Arial" w:hAnsi="Arial"/>
                      <w:color w:val="333333"/>
                      <w:sz w:val="17"/>
                      <w:szCs w:val="17"/>
                    </w:rPr>
                    <w:t xml:space="preserve">• Log the key handover and its linked inspection report directly in the Aluseg app, with a full history per lease.</w:t>
                  </w:r>
                </w:p>
                <w:p>
                  <w:pPr>
                    <w:spacing w:after="40"/>
                    <w:ind w:left="160"/>
                  </w:pPr>
                  <w:r>
                    <w:rPr>
                      <w:rFonts w:ascii="Arial" w:cs="Arial" w:eastAsia="Arial" w:hAnsi="Arial"/>
                      <w:color w:val="333333"/>
                      <w:sz w:val="17"/>
                      <w:szCs w:val="17"/>
                    </w:rPr>
                    <w:t xml:space="preserve">• Free account — properties, tenants, leases and documents in one place</w:t>
                  </w:r>
                </w:p>
                <w:p>
                  <w:pPr>
                    <w:spacing w:after="40"/>
                    <w:ind w:left="160"/>
                  </w:pPr>
                  <w:r>
                    <w:rPr>
                      <w:rFonts w:ascii="Arial" w:cs="Arial" w:eastAsia="Arial" w:hAnsi="Arial"/>
                      <w:color w:val="333333"/>
                      <w:sz w:val="17"/>
                      <w:szCs w:val="17"/>
                    </w:rPr>
                    <w:t xml:space="preserve">• Lease registration with the Tax Authority (AT) and electronic rent receipts</w:t>
                  </w:r>
                </w:p>
                <w:p>
                  <w:pPr>
                    <w:spacing w:after="40"/>
                    <w:ind w:left="160"/>
                  </w:pPr>
                  <w:r>
                    <w:rPr>
                      <w:rFonts w:ascii="Arial" w:cs="Arial" w:eastAsia="Arial" w:hAnsi="Arial"/>
                      <w:color w:val="333333"/>
                      <w:sz w:val="17"/>
                      <w:szCs w:val="17"/>
                    </w:rPr>
                    <w:t xml:space="preserve">• Annual rent update calculated automatically (INE coefficient)</w:t>
                  </w:r>
                </w:p>
                <w:p>
                  <w:pPr>
                    <w:spacing w:after="40"/>
                    <w:ind w:left="160"/>
                  </w:pPr>
                  <w:r>
                    <w:rPr>
                      <w:rFonts w:ascii="Arial" w:cs="Arial" w:eastAsia="Arial" w:hAnsi="Arial"/>
                      <w:color w:val="333333"/>
                      <w:sz w:val="17"/>
                      <w:szCs w:val="17"/>
                    </w:rPr>
                    <w:t xml:space="preserve">• Tenant screening and legal deadline reminders</w:t>
                  </w:r>
                </w:p>
                <w:p>
                  <w:pPr>
                    <w:spacing w:after="40" w:before="80"/>
                  </w:pPr>
                  <w:r>
                    <w:rPr>
                      <w:rFonts w:ascii="Arial" w:cs="Arial" w:eastAsia="Arial" w:hAnsi="Arial"/>
                      <w:color w:val="333333"/>
                      <w:sz w:val="17"/>
                      <w:szCs w:val="17"/>
                    </w:rPr>
                    <w:t xml:space="preserve">Create your free account at </w:t>
                  </w:r>
                  <w:hyperlink w:history="1" r:id="rIdoqlhc7bmek2y9ozimfp9j">
                    <w:r>
                      <w:rPr>
                        <w:rFonts w:ascii="Arial" w:cs="Arial" w:eastAsia="Arial" w:hAnsi="Arial"/>
                        <w:b/>
                        <w:bCs/>
                        <w:color w:val="005869"/>
                        <w:sz w:val="17"/>
                        <w:szCs w:val="17"/>
                      </w:rPr>
                      <w:t xml:space="preserve">app.aluseg.com</w:t>
                    </w:r>
                  </w:hyperlink>
                  <w:r>
                    <w:rPr>
                      <w:rFonts w:ascii="Arial" w:cs="Arial" w:eastAsia="Arial" w:hAnsi="Arial"/>
                      <w:color w:val="333333"/>
                      <w:sz w:val="17"/>
                      <w:szCs w:val="17"/>
                    </w:rPr>
                    <w:t xml:space="preserve"> — No credit card · Less than 2 minutes</w:t>
                  </w:r>
                </w:p>
              </w:tc>
            </w:tr>
          </w:tbl>
          <w:p>
            <w:pPr>
              <w:spacing w:before="60"/>
            </w:pPr>
            <w:r>
              <w:rPr>
                <w:rFonts w:ascii="Arial" w:cs="Arial" w:eastAsia="Arial" w:hAnsi="Arial"/>
                <w:i/>
                <w:iCs/>
                <w:color w:val="777777"/>
                <w:sz w:val="15"/>
                <w:szCs w:val="15"/>
              </w:rPr>
              <w:t xml:space="preserve">Bloco informativo — não integra o documento. / Informational block — not part of the document.</w:t>
            </w:r>
          </w:p>
        </w:tc>
      </w:tr>
    </w:tbl>
    <w:p>
      <w:pPr>
        <w:pBdr>
          <w:top w:val="single" w:color="CCCCCC" w:sz="4" w:space="4"/>
        </w:pBdr>
        <w:spacing w:before="240"/>
      </w:pPr>
      <w:r>
        <w:rPr>
          <w:rFonts w:ascii="Arial" w:cs="Arial" w:eastAsia="Arial" w:hAnsi="Arial"/>
          <w:color w:val="666666"/>
          <w:sz w:val="15"/>
          <w:szCs w:val="15"/>
        </w:rPr>
        <w:t xml:space="preserve">Gerado com Aluseg.com — modelo informativo gerado automaticamente; não dispensa aconselhamento jurídico profissional. Reveja todos os campos antes de assinar ou enviar. / Generated with Aluseg.com — informational template generated automatically; it does not replace professional legal advice. Review all fields before signing or sending. Referências legais / Legal references: Art. 1043.º do Código Civil; Art. 1081.º do Código Civil.</w:t>
      </w:r>
    </w:p>
    <w:sectPr>
      <w:headerReference w:type="default" r:id="rId7"/>
      <w:footerReference w:type="default" r:id="rId8"/>
      <w:pgSz w:w="11906" w:h="16838" w:orient="portrait"/>
      <w:pgMar w:top="1000" w:right="1080" w:bottom="11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4"/>
        <w:szCs w:val="14"/>
      </w:rPr>
      <w:t xml:space="preserve">Gerado com Aluseg.com — modelos gratuitos para senhorios · app.aluseg.com · </w:t>
    </w:r>
    <w:r>
      <w:rPr>
        <w:rFonts w:ascii="Arial" w:cs="Arial" w:eastAsia="Arial" w:hAnsi="Arial"/>
        <w:color w:val="888888"/>
        <w:sz w:val="14"/>
        <w:szCs w:val="14"/>
      </w:rPr>
      <w:fldChar w:fldCharType="begin"/>
      <w:instrText xml:space="preserve">PAGE</w:instrText>
      <w:fldChar w:fldCharType="separate"/>
      <w:fldChar w:fldCharType="end"/>
    </w:r>
    <w:r>
      <w:rPr>
        <w:rFonts w:ascii="Arial" w:cs="Arial" w:eastAsia="Arial" w:hAnsi="Arial"/>
        <w:color w:val="888888"/>
        <w:sz w:val="14"/>
        <w:szCs w:val="14"/>
      </w:rPr>
      <w:t xml:space="preserve">/</w:t>
    </w:r>
    <w:r>
      <w:rPr>
        <w:rFonts w:ascii="Arial" w:cs="Arial" w:eastAsia="Arial" w:hAnsi="Arial"/>
        <w:color w:val="888888"/>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5869" w:sz="12" w:space="6"/>
      </w:pBdr>
      <w:tabs>
        <w:tab w:val="right" w:pos="9746"/>
      </w:tabs>
    </w:pPr>
    <w:r>
      <w:drawing>
        <wp:inline distT="0" distB="0" distL="0" distR="0">
          <wp:extent cx="1123950" cy="419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23950" cy="419100"/>
                  </a:xfrm>
                  <a:prstGeom prst="rect">
                    <a:avLst/>
                  </a:prstGeom>
                </pic:spPr>
              </pic:pic>
            </a:graphicData>
          </a:graphic>
        </wp:inline>
      </w:drawing>
    </w:r>
    <w:r>
      <w:rPr>
        <w:rFonts w:ascii="Arial" w:cs="Arial" w:eastAsia="Arial" w:hAnsi="Arial"/>
        <w:color w:val="5B6770"/>
        <w:sz w:val="14"/>
        <w:szCs w:val="14"/>
      </w:rPr>
      <w:t xml:space="preserve">	Modelos gratuitos para senhorios · aluseg.com/documentos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_-kjybuvculasqigleaq6" Type="http://schemas.openxmlformats.org/officeDocument/2006/relationships/hyperlink" Target="https://app.aluseg.com/login?mode=signup&amp;utm_source=documento&amp;utm_medium=docx&amp;utm_campaign=auto-entrega-das-chaves" TargetMode="External"/><Relationship Id="rIdoqlhc7bmek2y9ozimfp9j" Type="http://schemas.openxmlformats.org/officeDocument/2006/relationships/hyperlink" Target="https://app.aluseg.com/login?mode=signup&amp;utm_source=documento&amp;utm_medium=docx&amp;utm_campaign=auto-entrega-das-chaves"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dbdbe0c4b8568ee3ca6a749cbb83f546f43ead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2026-08-15T07:59:07.571Z</dcterms:created>
  <dcterms:modified xsi:type="dcterms:W3CDTF">2026-08-15T07:59:07.571Z</dcterms:modified>
</cp:coreProperties>
</file>

<file path=docProps/custom.xml><?xml version="1.0" encoding="utf-8"?>
<Properties xmlns="http://schemas.openxmlformats.org/officeDocument/2006/custom-properties" xmlns:vt="http://schemas.openxmlformats.org/officeDocument/2006/docPropsVTypes"/>
</file>