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sz w:val="28"/>
          <w:szCs w:val="28"/>
        </w:rPr>
        <w:t xml:space="preserve">AUTO DE ENTREGA DAS CHAVES</w:t>
      </w:r>
    </w:p>
    <w:p>
      <w:pPr>
        <w:spacing w:after="60"/>
        <w:jc w:val="center"/>
      </w:pPr>
      <w:r>
        <w:rPr>
          <w:color w:val="333333"/>
          <w:sz w:val="19"/>
          <w:szCs w:val="19"/>
        </w:rPr>
        <w:t xml:space="preserve">Entrega inicial ao Arrendatário ou devolução final ao Senhorio — arrendamento habitacional</w:t>
      </w:r>
    </w:p>
    <w:p>
      <w:pPr>
        <w:spacing w:after="160"/>
      </w:pPr>
    </w:p>
    <w:p>
      <w:pPr>
        <w:spacing w:after="90"/>
        <w:ind w:left="200"/>
      </w:pPr>
      <w:r>
        <w:t xml:space="preserve">☐  </w:t>
      </w:r>
      <w:r>
        <w:t xml:space="preserve">Entrega ao Arrendatário — início do contrato de arrendamento</w:t>
      </w:r>
    </w:p>
    <w:p>
      <w:pPr>
        <w:spacing w:after="90"/>
        <w:ind w:left="200"/>
      </w:pPr>
      <w:r>
        <w:t xml:space="preserve">☐  </w:t>
      </w:r>
      <w:r>
        <w:t xml:space="preserve">Devolução ao Senhorio — cessação do contrato de arrendamento</w:t>
      </w:r>
    </w:p>
    <w:p>
      <w:pPr>
        <w:keepNext/>
        <w:pBdr>
          <w:bottom w:val="single" w:color="333333" w:sz="6" w:space="2"/>
        </w:pBdr>
        <w:spacing w:after="120" w:before="260"/>
      </w:pPr>
      <w:r>
        <w:rPr>
          <w:b/>
          <w:bCs/>
          <w:sz w:val="21"/>
          <w:szCs w:val="21"/>
        </w:rPr>
        <w:t xml:space="preserve">IDENTIFICAÇÃO DO IMÓVEL E DAS PARTES</w:t>
      </w:r>
    </w:p>
    <w:p>
      <w:pPr>
        <w:tabs>
          <w:tab w:val="right" w:pos="9746" w:leader="dot"/>
        </w:tabs>
        <w:spacing w:after="160"/>
      </w:pPr>
      <w:r>
        <w:t xml:space="preserve">Morada do imóvel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Referência do contrato de arrendamento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Data e hora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Senhorio (nome completo)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Arrendatário (nome completo)</w:t>
      </w:r>
      <w:r>
        <w:t xml:space="preserve">: </w:t>
      </w:r>
      <w:r>
        <w:t xml:space="preserve">	</w:t>
      </w:r>
    </w:p>
    <w:p>
      <w:pPr>
        <w:keepNext/>
        <w:pBdr>
          <w:bottom w:val="single" w:color="333333" w:sz="6" w:space="2"/>
        </w:pBdr>
        <w:spacing w:after="120" w:before="260"/>
      </w:pPr>
      <w:r>
        <w:rPr>
          <w:b/>
          <w:bCs/>
          <w:sz w:val="21"/>
          <w:szCs w:val="21"/>
        </w:rPr>
        <w:t xml:space="preserve">CHAVES ENTREGUES</w:t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999999" w:sz="4"/>
          <w:insideV w:val="single" w:color="999999" w:sz="4"/>
        </w:tblBorders>
        <w:tblCellMar>
          <w:top w:type="dxa" w:w="60"/>
          <w:left w:type="dxa" w:w="90"/>
          <w:bottom w:type="dxa" w:w="60"/>
          <w:right w:type="dxa" w:w="90"/>
        </w:tblCellMar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45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TIPO</w:t>
            </w:r>
          </w:p>
        </w:tc>
        <w:tc>
          <w:tcPr>
            <w:tcW w:type="pct" w:w="15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QUANTIDADE</w:t>
            </w:r>
          </w:p>
        </w:tc>
        <w:tc>
          <w:tcPr>
            <w:tcW w:type="pct" w:w="40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OBSERVAÇÕES</w:t>
            </w:r>
          </w:p>
        </w:tc>
      </w:tr>
      <w:tr>
        <w:tc>
          <w:tcPr>
            <w:tcW w:type="pct" w:w="45%"/>
          </w:tcPr>
          <w:p>
            <w:r>
              <w:rPr>
                <w:sz w:val="19"/>
                <w:szCs w:val="19"/>
              </w:rPr>
              <w:t xml:space="preserve">Porta principal</w:t>
            </w:r>
          </w:p>
        </w:tc>
        <w:tc>
          <w:tcPr>
            <w:tcW w:type="pct" w:w="15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40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45%"/>
          </w:tcPr>
          <w:p>
            <w:r>
              <w:rPr>
                <w:sz w:val="19"/>
                <w:szCs w:val="19"/>
              </w:rPr>
              <w:t xml:space="preserve">Porta do prédio</w:t>
            </w:r>
          </w:p>
        </w:tc>
        <w:tc>
          <w:tcPr>
            <w:tcW w:type="pct" w:w="15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40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45%"/>
          </w:tcPr>
          <w:p>
            <w:r>
              <w:rPr>
                <w:sz w:val="19"/>
                <w:szCs w:val="19"/>
              </w:rPr>
              <w:t xml:space="preserve">Caixa de correio</w:t>
            </w:r>
          </w:p>
        </w:tc>
        <w:tc>
          <w:tcPr>
            <w:tcW w:type="pct" w:w="15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40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45%"/>
          </w:tcPr>
          <w:p>
            <w:r>
              <w:rPr>
                <w:sz w:val="19"/>
                <w:szCs w:val="19"/>
              </w:rPr>
              <w:t xml:space="preserve">Garagem</w:t>
            </w:r>
          </w:p>
        </w:tc>
        <w:tc>
          <w:tcPr>
            <w:tcW w:type="pct" w:w="15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40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45%"/>
          </w:tcPr>
          <w:p>
            <w:r>
              <w:rPr>
                <w:sz w:val="19"/>
                <w:szCs w:val="19"/>
              </w:rPr>
              <w:t xml:space="preserve">Comando</w:t>
            </w:r>
          </w:p>
        </w:tc>
        <w:tc>
          <w:tcPr>
            <w:tcW w:type="pct" w:w="15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40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45%"/>
          </w:tcPr>
          <w:p>
            <w:r>
              <w:rPr>
                <w:sz w:val="19"/>
                <w:szCs w:val="19"/>
              </w:rPr>
              <w:t xml:space="preserve">Badge ou cartão de acesso</w:t>
            </w:r>
          </w:p>
        </w:tc>
        <w:tc>
          <w:tcPr>
            <w:tcW w:type="pct" w:w="15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40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45%"/>
          </w:tcPr>
          <w:p>
            <w:r>
              <w:rPr>
                <w:sz w:val="19"/>
                <w:szCs w:val="19"/>
              </w:rPr>
              <w:t xml:space="preserve">Outra</w:t>
            </w:r>
          </w:p>
        </w:tc>
        <w:tc>
          <w:tcPr>
            <w:tcW w:type="pct" w:w="15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40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45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5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40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45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15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pct" w:w="40%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</w:tbl>
    <w:p>
      <w:pPr>
        <w:spacing w:after="60"/>
      </w:pPr>
    </w:p>
    <w:p>
      <w:pPr>
        <w:keepNext/>
        <w:pBdr>
          <w:bottom w:val="single" w:color="333333" w:sz="6" w:space="2"/>
        </w:pBdr>
        <w:spacing w:after="120" w:before="260"/>
      </w:pPr>
      <w:r>
        <w:rPr>
          <w:b/>
          <w:bCs/>
          <w:sz w:val="21"/>
          <w:szCs w:val="21"/>
        </w:rPr>
        <w:t xml:space="preserve">LEITURAS DE CONTADORES</w:t>
      </w:r>
    </w:p>
    <w:p>
      <w:pPr>
        <w:tabs>
          <w:tab w:val="right" w:pos="9746" w:leader="dot"/>
        </w:tabs>
        <w:spacing w:after="160"/>
      </w:pPr>
      <w:r>
        <w:t xml:space="preserve">Eletricidade — leitura do contador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Gás — leitura do contador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Água — leitura do contador</w:t>
      </w:r>
      <w:r>
        <w:t xml:space="preserve">: </w:t>
      </w:r>
      <w:r>
        <w:t xml:space="preserve">	</w:t>
      </w:r>
    </w:p>
    <w:p>
      <w:pPr>
        <w:spacing w:after="140"/>
        <w:jc w:val="both"/>
      </w:pPr>
      <w:r>
        <w:t xml:space="preserve">A parte recetora, acima identificada, declara ter recebido nesta data as chaves e os demais acessos discriminados no quadro «Chaves entregues», nas quantidades e no estado aí registados, para os efeitos do disposto no artigo 1043.º do Código Civil. Declara ainda ter conhecimento de que a presente entrega pode, ou não, ser acompanhada de vistoria ao imóvel, conforme assinalado de seguida.</w:t>
      </w:r>
    </w:p>
    <w:p>
      <w:pPr>
        <w:spacing w:after="90"/>
        <w:ind w:left="200"/>
      </w:pPr>
      <w:r>
        <w:t xml:space="preserve">☐  </w:t>
      </w:r>
      <w:r>
        <w:t xml:space="preserve">Auto de vistoria (entrada ou saída) realizado e anexo a este documento</w:t>
      </w:r>
    </w:p>
    <w:p>
      <w:pPr>
        <w:spacing w:after="140"/>
        <w:jc w:val="both"/>
      </w:pPr>
      <w:r>
        <w:rPr>
          <w:i/>
          <w:iCs/>
          <w:color w:val="444444"/>
          <w:sz w:val="18"/>
          <w:szCs w:val="18"/>
        </w:rPr>
        <w:t xml:space="preserve">Quando este auto é utilizado na cessação do contrato, a entrega das chaves assinala a restituição do imóvel ao Senhorio (art. 1081.º, n.º 1, do Código Civil) e o início do processo de devolução da caução. Recomenda-se que a vistoria de saída seja realizada no mesmo momento, com registo fotográfico do estado do imóvel — esse registo é o principal suporte de prova para eventuais descontos na caução. Este auto documenta a entrega física das chaves; não substitui a comunicação de cessação do contrato quando esta for legalmente exigida.</w:t>
      </w:r>
    </w:p>
    <w:p>
      <w:pPr>
        <w:spacing w:after="200" w:before="300"/>
      </w:pPr>
      <w:r>
        <w:t xml:space="preserve">Feito em _____________________, aos ____ de ______________ de 20____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CellMar>
          <w:top w:type="dxa" w:w="0"/>
          <w:left w:type="dxa" w:w="200"/>
          <w:bottom w:type="dxa" w:w="0"/>
          <w:right w:type="dxa" w:w="200"/>
        </w:tblCellMar>
      </w:tblPr>
      <w:tblGrid>
        <w:gridCol w:w="100"/>
        <w:gridCol w:w="100"/>
      </w:tblGrid>
      <w:t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700"/>
            </w:pPr>
          </w:p>
          <w:p>
            <w:pPr>
              <w:pBdr>
                <w:top w:val="single" w:color="000000" w:sz="6" w:space="4"/>
              </w:pBdr>
              <w:jc w:val="center"/>
            </w:pPr>
            <w:r>
              <w:rPr>
                <w:sz w:val="19"/>
                <w:szCs w:val="19"/>
              </w:rPr>
              <w:t xml:space="preserve">Quem entrega</w:t>
            </w:r>
          </w:p>
          <w:p>
            <w:pPr>
              <w:jc w:val="center"/>
            </w:pPr>
            <w:r>
              <w:rPr>
                <w:color w:val="555555"/>
                <w:sz w:val="16"/>
                <w:szCs w:val="16"/>
              </w:rPr>
              <w:t xml:space="preserve">Senhorio na entrega inicial; Arrendatário na devolução final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700"/>
            </w:pPr>
          </w:p>
          <w:p>
            <w:pPr>
              <w:pBdr>
                <w:top w:val="single" w:color="000000" w:sz="6" w:space="4"/>
              </w:pBdr>
              <w:jc w:val="center"/>
            </w:pPr>
            <w:r>
              <w:rPr>
                <w:sz w:val="19"/>
                <w:szCs w:val="19"/>
              </w:rPr>
              <w:t xml:space="preserve">Quem recebe</w:t>
            </w:r>
          </w:p>
          <w:p>
            <w:pPr>
              <w:jc w:val="center"/>
            </w:pPr>
            <w:r>
              <w:rPr>
                <w:color w:val="555555"/>
                <w:sz w:val="16"/>
                <w:szCs w:val="16"/>
              </w:rPr>
              <w:t xml:space="preserve">Arrendatário na entrega inicial; Senhorio na devolução final</w:t>
            </w:r>
          </w:p>
        </w:tc>
      </w:tr>
    </w:tbl>
    <w:p>
      <w:pPr>
        <w:spacing w:before="240"/>
      </w:pPr>
    </w:p>
    <w:tbl>
      <w:tblPr>
        <w:tblW w:type="pct" w:w="100%"/>
        <w:tblBorders>
          <w:top w:val="single" w:color="B8C7C7" w:sz="6"/>
          <w:left w:val="single" w:color="B8C7C7" w:sz="6"/>
          <w:bottom w:val="single" w:color="B8C7C7" w:sz="6"/>
          <w:right w:val="single" w:color="B8C7C7" w:sz="6"/>
          <w:insideH w:val="none" w:color="FFFFFF" w:sz="0"/>
          <w:insideV w:val="none" w:color="FFFFFF" w:sz="0"/>
        </w:tblBorders>
        <w:tblCellMar>
          <w:top w:type="dxa" w:w="140"/>
          <w:left w:type="dxa" w:w="200"/>
          <w:bottom w:type="dxa" w:w="140"/>
          <w:right w:type="dxa" w:w="200"/>
        </w:tblCellMar>
      </w:tblPr>
      <w:tblGrid>
        <w:gridCol w:w="10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6FAFA" w:val="clear"/>
          </w:tcPr>
          <w:tbl>
            <w:tblPr>
              <w:tblW w:type="pct" w:w="100%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100"/>
            </w:tblGrid>
            <w:tr>
              <w:tc>
                <w:tcPr>
                  <w:tcW w:type="pct" w:w="10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pPr>
                    <w:spacing w:after="8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00504F"/>
                      <w:sz w:val="20"/>
                      <w:szCs w:val="20"/>
                    </w:rPr>
                    <w:t xml:space="preserve">Gira os seus arrendamentos gratuitamente na app Aluseg</w:t>
                  </w:r>
                </w:p>
                <w:p>
                  <w:pPr>
                    <w:spacing w:after="40"/>
                    <w:ind w:left="160"/>
                  </w:pPr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• Registe a entrega de chaves e a vistoria associada diretamente na aplicação Aluseg, com histórico por contrato.</w:t>
                  </w:r>
                </w:p>
                <w:p>
                  <w:pPr>
                    <w:spacing w:after="40"/>
                    <w:ind w:left="160"/>
                  </w:pPr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• Conta gratuita — imóveis, inquilinos, contratos e documentos num só lugar</w:t>
                  </w:r>
                </w:p>
                <w:p>
                  <w:pPr>
                    <w:spacing w:after="40"/>
                    <w:ind w:left="160"/>
                  </w:pPr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• Comunicação do contrato à AT e recibos de renda eletrónicos</w:t>
                  </w:r>
                </w:p>
                <w:p>
                  <w:pPr>
                    <w:spacing w:after="40"/>
                    <w:ind w:left="160"/>
                  </w:pPr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• Atualização anual da renda calculada automaticamente (coeficiente INE)</w:t>
                  </w:r>
                </w:p>
                <w:p>
                  <w:pPr>
                    <w:spacing w:after="40"/>
                    <w:ind w:left="160"/>
                  </w:pPr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• Verificação de solvência de candidatos e avisos de prazos legais</w:t>
                  </w:r>
                </w:p>
                <w:p>
                  <w:pPr>
                    <w:spacing w:after="40" w:before="80"/>
                  </w:pPr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Crie a sua conta gratuita em </w:t>
                  </w:r>
                  <w:hyperlink w:history="1" r:id="rIdcn8wfbbwdtaif7kypvh6n">
                    <w:r>
                      <w:rPr>
                        <w:rFonts w:ascii="Arial" w:cs="Arial" w:eastAsia="Arial" w:hAnsi="Arial"/>
                        <w:b/>
                        <w:bCs/>
                        <w:color w:val="005869"/>
                        <w:sz w:val="17"/>
                        <w:szCs w:val="17"/>
                      </w:rPr>
                      <w:t xml:space="preserve">app.aluseg.com</w:t>
                    </w:r>
                  </w:hyperlink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 — Sem cartão de crédito · Menos de 2 minutos</w:t>
                  </w:r>
                </w:p>
              </w:tc>
            </w:tr>
          </w:tbl>
          <w:p>
            <w:pPr>
              <w:spacing w:before="60"/>
            </w:pPr>
            <w:r>
              <w:rPr>
                <w:rFonts w:ascii="Arial" w:cs="Arial" w:eastAsia="Arial" w:hAnsi="Arial"/>
                <w:i/>
                <w:iCs/>
                <w:color w:val="777777"/>
                <w:sz w:val="15"/>
                <w:szCs w:val="15"/>
              </w:rPr>
              <w:t xml:space="preserve">Bloco informativo — não integra o documento.</w:t>
            </w:r>
          </w:p>
        </w:tc>
      </w:tr>
    </w:tbl>
    <w:p>
      <w:pPr>
        <w:pBdr>
          <w:top w:val="single" w:color="CCCCCC" w:sz="4" w:space="4"/>
        </w:pBdr>
        <w:spacing w:before="240"/>
      </w:pPr>
      <w:r>
        <w:rPr>
          <w:rFonts w:ascii="Arial" w:cs="Arial" w:eastAsia="Arial" w:hAnsi="Arial"/>
          <w:color w:val="666666"/>
          <w:sz w:val="15"/>
          <w:szCs w:val="15"/>
        </w:rPr>
        <w:t xml:space="preserve">Gerado com Aluseg.com — modelo informativo gerado automaticamente; não dispensa aconselhamento jurídico profissional. Reveja todos os campos antes de assinar ou enviar. Referências legais: Art. 1043.º do Código Civil; Art. 1081.º do Código Civil.</w:t>
      </w:r>
    </w:p>
    <w:sectPr>
      <w:headerReference w:type="default" r:id="rId7"/>
      <w:footerReference w:type="default" r:id="rId8"/>
      <w:pgSz w:w="11906" w:h="16838" w:orient="portrait"/>
      <w:pgMar w:top="1000" w:right="1080" w:bottom="11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888888"/>
        <w:sz w:val="14"/>
        <w:szCs w:val="14"/>
      </w:rPr>
      <w:t xml:space="preserve">Gerado com Aluseg.com — modelos gratuitos para senhorios · app.aluseg.com · </w:t>
    </w:r>
    <w:r>
      <w:rPr>
        <w:rFonts w:ascii="Arial" w:cs="Arial" w:eastAsia="Arial" w:hAnsi="Arial"/>
        <w:color w:val="888888"/>
        <w:sz w:val="14"/>
        <w:szCs w:val="14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888888"/>
        <w:sz w:val="14"/>
        <w:szCs w:val="14"/>
      </w:rPr>
      <w:t xml:space="preserve">/</w:t>
    </w:r>
    <w:r>
      <w:rPr>
        <w:rFonts w:ascii="Arial" w:cs="Arial" w:eastAsia="Arial" w:hAnsi="Arial"/>
        <w:color w:val="888888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05869" w:sz="12" w:space="6"/>
      </w:pBdr>
      <w:tabs>
        <w:tab w:val="right" w:pos="9746"/>
      </w:tabs>
    </w:pPr>
    <w:r>
      <w:drawing>
        <wp:inline distT="0" distB="0" distL="0" distR="0">
          <wp:extent cx="1123950" cy="41910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cs="Arial" w:eastAsia="Arial" w:hAnsi="Arial"/>
        <w:color w:val="5B6770"/>
        <w:sz w:val="14"/>
        <w:szCs w:val="14"/>
      </w:rPr>
      <w:t xml:space="preserve">	Modelos gratuitos para senhorios · aluseg.com/documentos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cn8wfbbwdtaif7kypvh6n" Type="http://schemas.openxmlformats.org/officeDocument/2006/relationships/hyperlink" Target="https://app.aluseg.com/login?mode=signup&amp;utm_source=documento&amp;utm_medium=docx&amp;utm_campaign=auto-entrega-das-chaves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cdbdbe0c4b8568ee3ca6a749cbb83f546f43ead0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2026-08-15T07:59:06.911Z</dcterms:created>
  <dcterms:modified xsi:type="dcterms:W3CDTF">2026-08-15T07:59:06.912Z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