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b/>
          <w:bCs/>
          <w:sz w:val="28"/>
          <w:szCs w:val="28"/>
        </w:rPr>
        <w:t xml:space="preserve">CARTA DE NÃO RENOVAÇÃO DO CONTRATO DE ARRENDAMENTO / NOTICE OF NON-RENEWAL OF THE LEASE AGREEMENT</w:t>
      </w:r>
    </w:p>
    <w:p>
      <w:pPr>
        <w:spacing w:after="60"/>
        <w:jc w:val="center"/>
      </w:pPr>
      <w:r>
        <w:rPr>
          <w:color w:val="333333"/>
          <w:sz w:val="19"/>
          <w:szCs w:val="19"/>
        </w:rPr>
        <w:t xml:space="preserve">Oposição à renovação automática — pelo Senhorio (art. 1097.º) ou pelo Arrendatário (art. 1098.º) do Código Civil</w:t>
      </w:r>
      <w:r>
        <w:rPr>
          <w:color w:val="333333"/>
          <w:sz w:val="19"/>
          <w:szCs w:val="19"/>
        </w:rPr>
        <w:t xml:space="preserve"> / </w:t>
      </w:r>
      <w:r>
        <w:rPr>
          <w:i/>
          <w:iCs/>
          <w:color w:val="333333"/>
          <w:sz w:val="19"/>
          <w:szCs w:val="19"/>
        </w:rPr>
        <w:t xml:space="preserve">Opposition to automatic renewal — by the Landlord (art. 1097) or by the Tenant (art. 1098) of the Civil Code</w:t>
      </w:r>
    </w:p>
    <w:p>
      <w:pPr>
        <w:spacing w:after="220"/>
        <w:jc w:val="center"/>
      </w:pPr>
      <w:r>
        <w:rPr>
          <w:rFonts w:ascii="Arial" w:cs="Arial" w:eastAsia="Arial" w:hAnsi="Arial"/>
          <w:i/>
          <w:iCs/>
          <w:color w:val="5B6770"/>
          <w:sz w:val="16"/>
          <w:szCs w:val="16"/>
        </w:rPr>
        <w:t xml:space="preserve">Documento bilingue: em caso de divergência, prevalece a versão portuguesa. / Bilingual document: in case of discrepancy, the Portuguese version prevails.</w:t>
      </w:r>
    </w:p>
    <w:p>
      <w:pPr>
        <w:keepNext/>
        <w:pBdr>
          <w:bottom w:val="single" w:color="333333" w:sz="6" w:space="2"/>
        </w:pBdr>
        <w:spacing w:after="120" w:before="260"/>
      </w:pPr>
      <w:r>
        <w:rPr>
          <w:b/>
          <w:bCs/>
          <w:sz w:val="21"/>
          <w:szCs w:val="21"/>
        </w:rPr>
        <w:t xml:space="preserve">QUEM ENVIA ESTA CARTA</w:t>
      </w:r>
      <w:r>
        <w:rPr>
          <w:b/>
          <w:bCs/>
          <w:sz w:val="21"/>
          <w:szCs w:val="21"/>
        </w:rPr>
        <w:t xml:space="preserve"> / </w:t>
      </w:r>
      <w:r>
        <w:rPr>
          <w:b/>
          <w:bCs/>
          <w:i/>
          <w:iCs/>
          <w:sz w:val="21"/>
          <w:szCs w:val="21"/>
        </w:rPr>
        <w:t xml:space="preserve">WHO SENDS THIS LETTER</w:t>
      </w:r>
    </w:p>
    <w:p>
      <w:pPr>
        <w:spacing w:after="90"/>
        <w:ind w:left="200"/>
      </w:pPr>
      <w:r>
        <w:t xml:space="preserve">☐  </w:t>
      </w:r>
      <w:r>
        <w:t xml:space="preserve">O Senhorio (art. 1097.º do Código Civil)</w:t>
      </w:r>
      <w:r>
        <w:t xml:space="preserve"> / </w:t>
      </w:r>
      <w:r>
        <w:rPr>
          <w:i/>
          <w:iCs/>
        </w:rPr>
        <w:t xml:space="preserve">The Landlord (art. 1097 Civil Code)</w:t>
      </w:r>
    </w:p>
    <w:p>
      <w:pPr>
        <w:spacing w:after="90"/>
        <w:ind w:left="200"/>
      </w:pPr>
      <w:r>
        <w:t xml:space="preserve">☐  </w:t>
      </w:r>
      <w:r>
        <w:t xml:space="preserve">O Arrendatário (art. 1098.º, n.º 1, do Código Civil)</w:t>
      </w:r>
      <w:r>
        <w:t xml:space="preserve"> / </w:t>
      </w:r>
      <w:r>
        <w:rPr>
          <w:i/>
          <w:iCs/>
        </w:rPr>
        <w:t xml:space="preserve">The Tenant (art. 1098(1) Civil Code)</w:t>
      </w:r>
    </w:p>
    <w:p>
      <w:pPr>
        <w:keepNext/>
        <w:pBdr>
          <w:bottom w:val="single" w:color="333333" w:sz="6" w:space="2"/>
        </w:pBdr>
        <w:spacing w:after="120" w:before="260"/>
      </w:pPr>
      <w:r>
        <w:rPr>
          <w:b/>
          <w:bCs/>
          <w:sz w:val="21"/>
          <w:szCs w:val="21"/>
        </w:rPr>
        <w:t xml:space="preserve">REMETENTE</w:t>
      </w:r>
      <w:r>
        <w:rPr>
          <w:b/>
          <w:bCs/>
          <w:sz w:val="21"/>
          <w:szCs w:val="21"/>
        </w:rPr>
        <w:t xml:space="preserve"> / </w:t>
      </w:r>
      <w:r>
        <w:rPr>
          <w:b/>
          <w:bCs/>
          <w:i/>
          <w:iCs/>
          <w:sz w:val="21"/>
          <w:szCs w:val="21"/>
        </w:rPr>
        <w:t xml:space="preserve">SENDER</w:t>
      </w:r>
    </w:p>
    <w:p>
      <w:pPr>
        <w:tabs>
          <w:tab w:val="right" w:pos="9746" w:leader="dot"/>
        </w:tabs>
        <w:spacing w:after="160"/>
      </w:pPr>
      <w:r>
        <w:t xml:space="preserve">Nome completo</w:t>
      </w:r>
      <w:r>
        <w:t xml:space="preserve"> / </w:t>
      </w:r>
      <w:r>
        <w:rPr>
          <w:i/>
          <w:iCs/>
        </w:rPr>
        <w:t xml:space="preserve">Full name</w:t>
      </w:r>
      <w:r>
        <w:t xml:space="preserve">: </w:t>
      </w:r>
      <w:r>
        <w:t xml:space="preserve">	</w:t>
      </w:r>
    </w:p>
    <w:p>
      <w:pPr>
        <w:tabs>
          <w:tab w:val="right" w:pos="9746" w:leader="dot"/>
        </w:tabs>
        <w:spacing w:after="160"/>
      </w:pPr>
      <w:r>
        <w:t xml:space="preserve">NIF</w:t>
      </w:r>
      <w:r>
        <w:t xml:space="preserve"> / </w:t>
      </w:r>
      <w:r>
        <w:rPr>
          <w:i/>
          <w:iCs/>
        </w:rPr>
        <w:t xml:space="preserve">Tax number (NIF)</w:t>
      </w:r>
      <w:r>
        <w:t xml:space="preserve">: </w:t>
      </w:r>
      <w:r>
        <w:t xml:space="preserve">	</w:t>
      </w:r>
    </w:p>
    <w:p>
      <w:pPr>
        <w:tabs>
          <w:tab w:val="right" w:pos="9746" w:leader="dot"/>
        </w:tabs>
        <w:spacing w:after="160"/>
      </w:pPr>
      <w:r>
        <w:t xml:space="preserve">Morada completa (art. 9.º, n.º 5, NRAU)</w:t>
      </w:r>
      <w:r>
        <w:t xml:space="preserve"> / </w:t>
      </w:r>
      <w:r>
        <w:rPr>
          <w:i/>
          <w:iCs/>
        </w:rPr>
        <w:t xml:space="preserve">Full address (art. 9(5) NRAU)</w:t>
      </w:r>
      <w:r>
        <w:t xml:space="preserve">: </w:t>
      </w:r>
      <w:r>
        <w:t xml:space="preserve">	</w:t>
      </w:r>
    </w:p>
    <w:p>
      <w:pPr>
        <w:keepNext/>
        <w:pBdr>
          <w:bottom w:val="single" w:color="333333" w:sz="6" w:space="2"/>
        </w:pBdr>
        <w:spacing w:after="120" w:before="260"/>
      </w:pPr>
      <w:r>
        <w:rPr>
          <w:b/>
          <w:bCs/>
          <w:sz w:val="21"/>
          <w:szCs w:val="21"/>
        </w:rPr>
        <w:t xml:space="preserve">DESTINATÁRIO</w:t>
      </w:r>
      <w:r>
        <w:rPr>
          <w:b/>
          <w:bCs/>
          <w:sz w:val="21"/>
          <w:szCs w:val="21"/>
        </w:rPr>
        <w:t xml:space="preserve"> / </w:t>
      </w:r>
      <w:r>
        <w:rPr>
          <w:b/>
          <w:bCs/>
          <w:i/>
          <w:iCs/>
          <w:sz w:val="21"/>
          <w:szCs w:val="21"/>
        </w:rPr>
        <w:t xml:space="preserve">RECIPIENT</w:t>
      </w:r>
    </w:p>
    <w:p>
      <w:pPr>
        <w:tabs>
          <w:tab w:val="right" w:pos="9746" w:leader="dot"/>
        </w:tabs>
        <w:spacing w:after="160"/>
      </w:pPr>
      <w:r>
        <w:t xml:space="preserve">Nome completo</w:t>
      </w:r>
      <w:r>
        <w:t xml:space="preserve"> / </w:t>
      </w:r>
      <w:r>
        <w:rPr>
          <w:i/>
          <w:iCs/>
        </w:rPr>
        <w:t xml:space="preserve">Full name</w:t>
      </w:r>
      <w:r>
        <w:t xml:space="preserve">: </w:t>
      </w:r>
      <w:r>
        <w:t xml:space="preserve">	</w:t>
      </w:r>
    </w:p>
    <w:p>
      <w:pPr>
        <w:tabs>
          <w:tab w:val="right" w:pos="9746" w:leader="dot"/>
        </w:tabs>
        <w:spacing w:after="160"/>
      </w:pPr>
      <w:r>
        <w:t xml:space="preserve">Morada de envio</w:t>
      </w:r>
      <w:r>
        <w:t xml:space="preserve"> / </w:t>
      </w:r>
      <w:r>
        <w:rPr>
          <w:i/>
          <w:iCs/>
        </w:rPr>
        <w:t xml:space="preserve">Mailing address</w:t>
      </w:r>
      <w:r>
        <w:t xml:space="preserve">: </w:t>
      </w:r>
      <w:r>
        <w:t xml:space="preserve">	</w:t>
      </w:r>
    </w:p>
    <w:p>
      <w:pPr>
        <w:keepNext/>
        <w:pBdr>
          <w:bottom w:val="single" w:color="333333" w:sz="6" w:space="2"/>
        </w:pBdr>
        <w:spacing w:after="120" w:before="260"/>
      </w:pPr>
      <w:r>
        <w:rPr>
          <w:b/>
          <w:bCs/>
          <w:sz w:val="21"/>
          <w:szCs w:val="21"/>
        </w:rPr>
        <w:t xml:space="preserve">CONTRATO E CÁLCULO DA DATA-LIMITE</w:t>
      </w:r>
      <w:r>
        <w:rPr>
          <w:b/>
          <w:bCs/>
          <w:sz w:val="21"/>
          <w:szCs w:val="21"/>
        </w:rPr>
        <w:t xml:space="preserve"> / </w:t>
      </w:r>
      <w:r>
        <w:rPr>
          <w:b/>
          <w:bCs/>
          <w:i/>
          <w:iCs/>
          <w:sz w:val="21"/>
          <w:szCs w:val="21"/>
        </w:rPr>
        <w:t xml:space="preserve">LEASE AND DEADLINE CALCULATION</w:t>
      </w:r>
    </w:p>
    <w:p>
      <w:pPr>
        <w:tabs>
          <w:tab w:val="right" w:pos="9746" w:leader="dot"/>
        </w:tabs>
        <w:spacing w:after="160"/>
      </w:pPr>
      <w:r>
        <w:t xml:space="preserve">Morada do imóvel arrendado</w:t>
      </w:r>
      <w:r>
        <w:t xml:space="preserve"> / </w:t>
      </w:r>
      <w:r>
        <w:rPr>
          <w:i/>
          <w:iCs/>
        </w:rPr>
        <w:t xml:space="preserve">Leased property address</w:t>
      </w:r>
      <w:r>
        <w:t xml:space="preserve">: </w:t>
      </w:r>
      <w:r>
        <w:t xml:space="preserve">	</w:t>
      </w:r>
    </w:p>
    <w:p>
      <w:pPr>
        <w:tabs>
          <w:tab w:val="right" w:pos="9746" w:leader="dot"/>
        </w:tabs>
        <w:spacing w:after="160"/>
      </w:pPr>
      <w:r>
        <w:t xml:space="preserve">Data de celebração do contrato</w:t>
      </w:r>
      <w:r>
        <w:t xml:space="preserve"> / </w:t>
      </w:r>
      <w:r>
        <w:rPr>
          <w:i/>
          <w:iCs/>
        </w:rPr>
        <w:t xml:space="preserve">Date the lease was signed</w:t>
      </w:r>
      <w:r>
        <w:t xml:space="preserve">: </w:t>
      </w:r>
      <w:r>
        <w:t xml:space="preserve">	</w:t>
      </w:r>
    </w:p>
    <w:p>
      <w:pPr>
        <w:tabs>
          <w:tab w:val="right" w:pos="9746" w:leader="dot"/>
        </w:tabs>
        <w:spacing w:after="160"/>
      </w:pPr>
      <w:r>
        <w:t xml:space="preserve">Prazo inicial ou da renovação em curso</w:t>
      </w:r>
      <w:r>
        <w:t xml:space="preserve"> / </w:t>
      </w:r>
      <w:r>
        <w:rPr>
          <w:i/>
          <w:iCs/>
        </w:rPr>
        <w:t xml:space="preserve">Initial term or current renewal term</w:t>
      </w:r>
      <w:r>
        <w:t xml:space="preserve">: </w:t>
      </w:r>
      <w:r>
        <w:t xml:space="preserve">	</w:t>
      </w:r>
    </w:p>
    <w:p>
      <w:pPr>
        <w:tabs>
          <w:tab w:val="right" w:pos="9746" w:leader="dot"/>
        </w:tabs>
        <w:spacing w:after="160"/>
      </w:pPr>
      <w:r>
        <w:t xml:space="preserve">Termo do prazo em curso (A)</w:t>
      </w:r>
      <w:r>
        <w:t xml:space="preserve"> / </w:t>
      </w:r>
      <w:r>
        <w:rPr>
          <w:i/>
          <w:iCs/>
        </w:rPr>
        <w:t xml:space="preserve">End of the current term (A)</w:t>
      </w:r>
      <w:r>
        <w:t xml:space="preserve">: </w:t>
      </w:r>
      <w:r>
        <w:t xml:space="preserve">	</w:t>
      </w:r>
    </w:p>
    <w:p>
      <w:pPr>
        <w:tabs>
          <w:tab w:val="right" w:pos="9746" w:leader="dot"/>
        </w:tabs>
        <w:spacing w:after="160"/>
      </w:pPr>
      <w:r>
        <w:t xml:space="preserve">Antecedência mínima aplicável, em dias (B)</w:t>
      </w:r>
      <w:r>
        <w:t xml:space="preserve"> / </w:t>
      </w:r>
      <w:r>
        <w:rPr>
          <w:i/>
          <w:iCs/>
        </w:rPr>
        <w:t xml:space="preserve">Applicable minimum notice, in days (B)</w:t>
      </w:r>
      <w:r>
        <w:t xml:space="preserve">: </w:t>
      </w:r>
      <w:r>
        <w:t xml:space="preserve">	</w:t>
      </w:r>
    </w:p>
    <w:p>
      <w:pPr>
        <w:tabs>
          <w:tab w:val="right" w:pos="9746" w:leader="dot"/>
        </w:tabs>
        <w:spacing w:after="160"/>
      </w:pPr>
      <w:r>
        <w:t xml:space="preserve">Data-limite de receção da carta (A menos B)</w:t>
      </w:r>
      <w:r>
        <w:t xml:space="preserve"> / </w:t>
      </w:r>
      <w:r>
        <w:rPr>
          <w:i/>
          <w:iCs/>
        </w:rPr>
        <w:t xml:space="preserve">Latest date for receipt of the letter (A minus B)</w:t>
      </w:r>
      <w:r>
        <w:t xml:space="preserve">: </w:t>
      </w:r>
      <w:r>
        <w:t xml:space="preserve">	</w:t>
      </w:r>
    </w:p>
    <w:tbl>
      <w:tblPr>
        <w:tblW w:type="pct" w:w="100%"/>
        <w:tblBorders>
          <w:top w:val="single" w:color="999999" w:sz="4"/>
          <w:left w:val="single" w:color="999999" w:sz="4"/>
          <w:bottom w:val="single" w:color="999999" w:sz="4"/>
          <w:right w:val="single" w:color="999999" w:sz="4"/>
          <w:insideH w:val="single" w:color="999999" w:sz="4"/>
          <w:insideV w:val="single" w:color="999999" w:sz="4"/>
        </w:tblBorders>
        <w:tblCellMar>
          <w:top w:type="dxa" w:w="60"/>
          <w:left w:type="dxa" w:w="90"/>
          <w:bottom w:type="dxa" w:w="60"/>
          <w:right w:type="dxa" w:w="90"/>
        </w:tblCellMar>
      </w:tblPr>
      <w:tblGrid>
        <w:gridCol w:w="100"/>
        <w:gridCol w:w="100"/>
        <w:gridCol w:w="100"/>
      </w:tblGrid>
      <w:tr>
        <w:trPr>
          <w:tblHeader/>
        </w:trPr>
        <w:tc>
          <w:tcPr>
            <w:tcW w:type="pct" w:w="44%"/>
            <w:shd w:fill="F3F8F9" w:val="clear"/>
          </w:tcPr>
          <w:p>
            <w:r>
              <w:rPr>
                <w:rFonts w:ascii="Arial" w:cs="Arial" w:eastAsia="Arial" w:hAnsi="Arial"/>
                <w:b/>
                <w:bCs/>
                <w:sz w:val="16"/>
                <w:szCs w:val="16"/>
              </w:rPr>
              <w:t xml:space="preserve">PRAZO INICIAL DO CONTRATO OU DA RENOVAÇÃO</w:t>
            </w:r>
            <w:r>
              <w:rPr>
                <w:rFonts w:ascii="Arial" w:cs="Arial" w:eastAsia="Arial" w:hAnsi="Arial"/>
                <w:b/>
                <w:bCs/>
                <w:sz w:val="16"/>
                <w:szCs w:val="16"/>
              </w:rPr>
              <w:t xml:space="preserve"> / </w:t>
            </w:r>
            <w:r>
              <w:rPr>
                <w:rFonts w:ascii="Arial" w:cs="Arial" w:eastAsia="Arial" w:hAnsi="Arial"/>
                <w:b/>
                <w:bCs/>
                <w:i/>
                <w:iCs/>
                <w:sz w:val="16"/>
                <w:szCs w:val="16"/>
              </w:rPr>
              <w:t xml:space="preserve">INITIAL TERM OF THE LEASE OR OF THE RENEWAL</w:t>
            </w:r>
          </w:p>
        </w:tc>
        <w:tc>
          <w:tcPr>
            <w:tcW w:type="pct" w:w="28%"/>
            <w:shd w:fill="F3F8F9" w:val="clear"/>
          </w:tcPr>
          <w:p>
            <w:r>
              <w:rPr>
                <w:rFonts w:ascii="Arial" w:cs="Arial" w:eastAsia="Arial" w:hAnsi="Arial"/>
                <w:b/>
                <w:bCs/>
                <w:sz w:val="16"/>
                <w:szCs w:val="16"/>
              </w:rPr>
              <w:t xml:space="preserve">SENHORIO (ART. 1097.º, N.º 1)</w:t>
            </w:r>
            <w:r>
              <w:rPr>
                <w:rFonts w:ascii="Arial" w:cs="Arial" w:eastAsia="Arial" w:hAnsi="Arial"/>
                <w:b/>
                <w:bCs/>
                <w:sz w:val="16"/>
                <w:szCs w:val="16"/>
              </w:rPr>
              <w:t xml:space="preserve"> / </w:t>
            </w:r>
            <w:r>
              <w:rPr>
                <w:rFonts w:ascii="Arial" w:cs="Arial" w:eastAsia="Arial" w:hAnsi="Arial"/>
                <w:b/>
                <w:bCs/>
                <w:i/>
                <w:iCs/>
                <w:sz w:val="16"/>
                <w:szCs w:val="16"/>
              </w:rPr>
              <w:t xml:space="preserve">LANDLORD (ART. 1097(1))</w:t>
            </w:r>
          </w:p>
        </w:tc>
        <w:tc>
          <w:tcPr>
            <w:tcW w:type="pct" w:w="28%"/>
            <w:shd w:fill="F3F8F9" w:val="clear"/>
          </w:tcPr>
          <w:p>
            <w:r>
              <w:rPr>
                <w:rFonts w:ascii="Arial" w:cs="Arial" w:eastAsia="Arial" w:hAnsi="Arial"/>
                <w:b/>
                <w:bCs/>
                <w:sz w:val="16"/>
                <w:szCs w:val="16"/>
              </w:rPr>
              <w:t xml:space="preserve">ARRENDATÁRIO (ART. 1098.º, N.º 1)</w:t>
            </w:r>
            <w:r>
              <w:rPr>
                <w:rFonts w:ascii="Arial" w:cs="Arial" w:eastAsia="Arial" w:hAnsi="Arial"/>
                <w:b/>
                <w:bCs/>
                <w:sz w:val="16"/>
                <w:szCs w:val="16"/>
              </w:rPr>
              <w:t xml:space="preserve"> / </w:t>
            </w:r>
            <w:r>
              <w:rPr>
                <w:rFonts w:ascii="Arial" w:cs="Arial" w:eastAsia="Arial" w:hAnsi="Arial"/>
                <w:b/>
                <w:bCs/>
                <w:i/>
                <w:iCs/>
                <w:sz w:val="16"/>
                <w:szCs w:val="16"/>
              </w:rPr>
              <w:t xml:space="preserve">TENANT (ART. 1098(1))</w:t>
            </w:r>
          </w:p>
        </w:tc>
      </w:tr>
      <w:tr>
        <w:tc>
          <w:tcPr>
            <w:tcW w:type="pct" w:w="44%"/>
          </w:tcPr>
          <w:p>
            <w:r>
              <w:rPr>
                <w:sz w:val="19"/>
                <w:szCs w:val="19"/>
              </w:rPr>
              <w:t xml:space="preserve">Igual ou superior a 6 anos</w:t>
            </w:r>
            <w:r>
              <w:rPr>
                <w:sz w:val="19"/>
                <w:szCs w:val="19"/>
              </w:rPr>
              <w:t xml:space="preserve"> / </w:t>
            </w:r>
            <w:r>
              <w:rPr>
                <w:i/>
                <w:iCs/>
                <w:sz w:val="19"/>
                <w:szCs w:val="19"/>
              </w:rPr>
              <w:t xml:space="preserve">Six years or more</w:t>
            </w:r>
          </w:p>
        </w:tc>
        <w:tc>
          <w:tcPr>
            <w:tcW w:type="pct" w:w="28%"/>
          </w:tcPr>
          <w:p>
            <w:r>
              <w:rPr>
                <w:sz w:val="19"/>
                <w:szCs w:val="19"/>
              </w:rPr>
              <w:t xml:space="preserve">240 dias</w:t>
            </w:r>
            <w:r>
              <w:rPr>
                <w:sz w:val="19"/>
                <w:szCs w:val="19"/>
              </w:rPr>
              <w:t xml:space="preserve"> / </w:t>
            </w:r>
            <w:r>
              <w:rPr>
                <w:i/>
                <w:iCs/>
                <w:sz w:val="19"/>
                <w:szCs w:val="19"/>
              </w:rPr>
              <w:t xml:space="preserve">240 days</w:t>
            </w:r>
          </w:p>
        </w:tc>
        <w:tc>
          <w:tcPr>
            <w:tcW w:type="pct" w:w="28%"/>
          </w:tcPr>
          <w:p>
            <w:r>
              <w:rPr>
                <w:sz w:val="19"/>
                <w:szCs w:val="19"/>
              </w:rPr>
              <w:t xml:space="preserve">120 dias</w:t>
            </w:r>
            <w:r>
              <w:rPr>
                <w:sz w:val="19"/>
                <w:szCs w:val="19"/>
              </w:rPr>
              <w:t xml:space="preserve"> / </w:t>
            </w:r>
            <w:r>
              <w:rPr>
                <w:i/>
                <w:iCs/>
                <w:sz w:val="19"/>
                <w:szCs w:val="19"/>
              </w:rPr>
              <w:t xml:space="preserve">120 days</w:t>
            </w:r>
          </w:p>
        </w:tc>
      </w:tr>
      <w:tr>
        <w:tc>
          <w:tcPr>
            <w:tcW w:type="pct" w:w="44%"/>
          </w:tcPr>
          <w:p>
            <w:r>
              <w:rPr>
                <w:sz w:val="19"/>
                <w:szCs w:val="19"/>
              </w:rPr>
              <w:t xml:space="preserve">De 1 ano a menos de 6 anos</w:t>
            </w:r>
            <w:r>
              <w:rPr>
                <w:sz w:val="19"/>
                <w:szCs w:val="19"/>
              </w:rPr>
              <w:t xml:space="preserve"> / </w:t>
            </w:r>
            <w:r>
              <w:rPr>
                <w:i/>
                <w:iCs/>
                <w:sz w:val="19"/>
                <w:szCs w:val="19"/>
              </w:rPr>
              <w:t xml:space="preserve">One year to under six years</w:t>
            </w:r>
          </w:p>
        </w:tc>
        <w:tc>
          <w:tcPr>
            <w:tcW w:type="pct" w:w="28%"/>
          </w:tcPr>
          <w:p>
            <w:r>
              <w:rPr>
                <w:sz w:val="19"/>
                <w:szCs w:val="19"/>
              </w:rPr>
              <w:t xml:space="preserve">120 dias</w:t>
            </w:r>
            <w:r>
              <w:rPr>
                <w:sz w:val="19"/>
                <w:szCs w:val="19"/>
              </w:rPr>
              <w:t xml:space="preserve"> / </w:t>
            </w:r>
            <w:r>
              <w:rPr>
                <w:i/>
                <w:iCs/>
                <w:sz w:val="19"/>
                <w:szCs w:val="19"/>
              </w:rPr>
              <w:t xml:space="preserve">120 days</w:t>
            </w:r>
          </w:p>
        </w:tc>
        <w:tc>
          <w:tcPr>
            <w:tcW w:type="pct" w:w="28%"/>
          </w:tcPr>
          <w:p>
            <w:r>
              <w:rPr>
                <w:sz w:val="19"/>
                <w:szCs w:val="19"/>
              </w:rPr>
              <w:t xml:space="preserve">90 dias</w:t>
            </w:r>
            <w:r>
              <w:rPr>
                <w:sz w:val="19"/>
                <w:szCs w:val="19"/>
              </w:rPr>
              <w:t xml:space="preserve"> / </w:t>
            </w:r>
            <w:r>
              <w:rPr>
                <w:i/>
                <w:iCs/>
                <w:sz w:val="19"/>
                <w:szCs w:val="19"/>
              </w:rPr>
              <w:t xml:space="preserve">90 days</w:t>
            </w:r>
          </w:p>
        </w:tc>
      </w:tr>
      <w:tr>
        <w:tc>
          <w:tcPr>
            <w:tcW w:type="pct" w:w="44%"/>
          </w:tcPr>
          <w:p>
            <w:r>
              <w:rPr>
                <w:sz w:val="19"/>
                <w:szCs w:val="19"/>
              </w:rPr>
              <w:t xml:space="preserve">De 6 meses a menos de 1 ano</w:t>
            </w:r>
            <w:r>
              <w:rPr>
                <w:sz w:val="19"/>
                <w:szCs w:val="19"/>
              </w:rPr>
              <w:t xml:space="preserve"> / </w:t>
            </w:r>
            <w:r>
              <w:rPr>
                <w:i/>
                <w:iCs/>
                <w:sz w:val="19"/>
                <w:szCs w:val="19"/>
              </w:rPr>
              <w:t xml:space="preserve">Six months to under one year</w:t>
            </w:r>
          </w:p>
        </w:tc>
        <w:tc>
          <w:tcPr>
            <w:tcW w:type="pct" w:w="28%"/>
          </w:tcPr>
          <w:p>
            <w:r>
              <w:rPr>
                <w:sz w:val="19"/>
                <w:szCs w:val="19"/>
              </w:rPr>
              <w:t xml:space="preserve">60 dias</w:t>
            </w:r>
            <w:r>
              <w:rPr>
                <w:sz w:val="19"/>
                <w:szCs w:val="19"/>
              </w:rPr>
              <w:t xml:space="preserve"> / </w:t>
            </w:r>
            <w:r>
              <w:rPr>
                <w:i/>
                <w:iCs/>
                <w:sz w:val="19"/>
                <w:szCs w:val="19"/>
              </w:rPr>
              <w:t xml:space="preserve">60 days</w:t>
            </w:r>
          </w:p>
        </w:tc>
        <w:tc>
          <w:tcPr>
            <w:tcW w:type="pct" w:w="28%"/>
          </w:tcPr>
          <w:p>
            <w:r>
              <w:rPr>
                <w:sz w:val="19"/>
                <w:szCs w:val="19"/>
              </w:rPr>
              <w:t xml:space="preserve">60 dias</w:t>
            </w:r>
            <w:r>
              <w:rPr>
                <w:sz w:val="19"/>
                <w:szCs w:val="19"/>
              </w:rPr>
              <w:t xml:space="preserve"> / </w:t>
            </w:r>
            <w:r>
              <w:rPr>
                <w:i/>
                <w:iCs/>
                <w:sz w:val="19"/>
                <w:szCs w:val="19"/>
              </w:rPr>
              <w:t xml:space="preserve">60 days</w:t>
            </w:r>
          </w:p>
        </w:tc>
      </w:tr>
      <w:tr>
        <w:tc>
          <w:tcPr>
            <w:tcW w:type="pct" w:w="44%"/>
          </w:tcPr>
          <w:p>
            <w:r>
              <w:rPr>
                <w:sz w:val="19"/>
                <w:szCs w:val="19"/>
              </w:rPr>
              <w:t xml:space="preserve">Inferior a 6 meses</w:t>
            </w:r>
            <w:r>
              <w:rPr>
                <w:sz w:val="19"/>
                <w:szCs w:val="19"/>
              </w:rPr>
              <w:t xml:space="preserve"> / </w:t>
            </w:r>
            <w:r>
              <w:rPr>
                <w:i/>
                <w:iCs/>
                <w:sz w:val="19"/>
                <w:szCs w:val="19"/>
              </w:rPr>
              <w:t xml:space="preserve">Under six months</w:t>
            </w:r>
          </w:p>
        </w:tc>
        <w:tc>
          <w:tcPr>
            <w:tcW w:type="pct" w:w="28%"/>
          </w:tcPr>
          <w:p>
            <w:r>
              <w:rPr>
                <w:sz w:val="19"/>
                <w:szCs w:val="19"/>
              </w:rPr>
              <w:t xml:space="preserve">Um terço do prazo</w:t>
            </w:r>
            <w:r>
              <w:rPr>
                <w:sz w:val="19"/>
                <w:szCs w:val="19"/>
              </w:rPr>
              <w:t xml:space="preserve"> / </w:t>
            </w:r>
            <w:r>
              <w:rPr>
                <w:i/>
                <w:iCs/>
                <w:sz w:val="19"/>
                <w:szCs w:val="19"/>
              </w:rPr>
              <w:t xml:space="preserve">One third of the term</w:t>
            </w:r>
          </w:p>
        </w:tc>
        <w:tc>
          <w:tcPr>
            <w:tcW w:type="pct" w:w="28%"/>
          </w:tcPr>
          <w:p>
            <w:r>
              <w:rPr>
                <w:sz w:val="19"/>
                <w:szCs w:val="19"/>
              </w:rPr>
              <w:t xml:space="preserve">Um terço do prazo</w:t>
            </w:r>
            <w:r>
              <w:rPr>
                <w:sz w:val="19"/>
                <w:szCs w:val="19"/>
              </w:rPr>
              <w:t xml:space="preserve"> / </w:t>
            </w:r>
            <w:r>
              <w:rPr>
                <w:i/>
                <w:iCs/>
                <w:sz w:val="19"/>
                <w:szCs w:val="19"/>
              </w:rPr>
              <w:t xml:space="preserve">One third of the term</w:t>
            </w:r>
          </w:p>
        </w:tc>
      </w:tr>
    </w:tbl>
    <w:p>
      <w:pPr>
        <w:spacing w:after="60"/>
      </w:pPr>
    </w:p>
    <w:tbl>
      <w:tblPr>
        <w:tblW w:type="pct" w:w="100%"/>
        <w:tblBorders>
          <w:top w:val="none" w:color="FFFFFF" w:sz="0"/>
          <w:left w:val="none" w:color="FFFFFF" w:sz="0"/>
          <w:bottom w:val="none" w:color="FFFFFF" w:sz="0"/>
          <w:right w:val="none" w:color="FFFFFF" w:sz="0"/>
          <w:insideH w:val="none" w:color="FFFFFF" w:sz="0"/>
          <w:insideV w:val="none" w:color="FFFFFF" w:sz="0"/>
        </w:tblBorders>
        <w:tblCellMar>
          <w:top w:type="dxa" w:w="20"/>
          <w:left w:type="dxa" w:w="0"/>
          <w:bottom w:type="dxa" w:w="60"/>
          <w:right w:type="dxa" w:w="120"/>
        </w:tblCellMar>
      </w:tblPr>
      <w:tblGrid>
        <w:gridCol w:w="100"/>
        <w:gridCol w:w="100"/>
      </w:tblGrid>
      <w:tr>
        <w:tc>
          <w:tcPr>
            <w:tcW w:type="pct" w:w="50%"/>
            <w:tcBorders>
              <w:top w:val="none" w:color="FFFFFF" w:sz="0"/>
              <w:left w:val="none" w:color="FFFFFF" w:sz="0"/>
              <w:bottom w:val="none" w:color="FFFFFF" w:sz="0"/>
              <w:right w:val="none" w:color="FFFFFF" w:sz="0"/>
            </w:tcBorders>
          </w:tcPr>
          <w:p>
            <w:pPr>
              <w:jc w:val="both"/>
            </w:pPr>
            <w:r>
              <w:rPr>
                <w:b/>
                <w:bCs/>
              </w:rPr>
              <w:t xml:space="preserve">Assunto:</w:t>
            </w:r>
            <w:r>
              <w:t xml:space="preserve"> Comunicação de não renovação (oposição à renovação automática) do contrato de arrendamento.</w:t>
            </w:r>
          </w:p>
        </w:tc>
        <w:tc>
          <w:tcPr>
            <w:tcW w:type="pct" w:w="50%"/>
            <w:tcBorders>
              <w:top w:val="none" w:color="FFFFFF" w:sz="0"/>
              <w:left w:val="none" w:color="FFFFFF" w:sz="0"/>
              <w:bottom w:val="none" w:color="FFFFFF" w:sz="0"/>
              <w:right w:val="none" w:color="FFFFFF" w:sz="0"/>
            </w:tcBorders>
          </w:tcPr>
          <w:p>
            <w:pPr>
              <w:jc w:val="both"/>
            </w:pPr>
            <w:r>
              <w:rPr>
                <w:b/>
                <w:bCs/>
                <w:i/>
                <w:iCs/>
              </w:rPr>
              <w:t xml:space="preserve">Subject:</w:t>
            </w:r>
            <w:r>
              <w:rPr>
                <w:i/>
                <w:iCs/>
              </w:rPr>
              <w:t xml:space="preserve"> Notice of non-renewal (opposition to automatic renewal) of the lease agreement.</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CellMar>
          <w:top w:type="dxa" w:w="20"/>
          <w:left w:type="dxa" w:w="0"/>
          <w:bottom w:type="dxa" w:w="60"/>
          <w:right w:type="dxa" w:w="120"/>
        </w:tblCellMar>
      </w:tblPr>
      <w:tblGrid>
        <w:gridCol w:w="100"/>
        <w:gridCol w:w="100"/>
      </w:tblGrid>
      <w:tr>
        <w:tc>
          <w:tcPr>
            <w:tcW w:type="pct" w:w="50%"/>
            <w:tcBorders>
              <w:top w:val="none" w:color="FFFFFF" w:sz="0"/>
              <w:left w:val="none" w:color="FFFFFF" w:sz="0"/>
              <w:bottom w:val="none" w:color="FFFFFF" w:sz="0"/>
              <w:right w:val="none" w:color="FFFFFF" w:sz="0"/>
            </w:tcBorders>
          </w:tcPr>
          <w:p>
            <w:pPr>
              <w:jc w:val="both"/>
            </w:pPr>
            <w:r>
              <w:t xml:space="preserve">Exmo.(a) Senhor(a) [Nome completo do destinatário],</w:t>
            </w:r>
          </w:p>
        </w:tc>
        <w:tc>
          <w:tcPr>
            <w:tcW w:type="pct" w:w="50%"/>
            <w:tcBorders>
              <w:top w:val="none" w:color="FFFFFF" w:sz="0"/>
              <w:left w:val="none" w:color="FFFFFF" w:sz="0"/>
              <w:bottom w:val="none" w:color="FFFFFF" w:sz="0"/>
              <w:right w:val="none" w:color="FFFFFF" w:sz="0"/>
            </w:tcBorders>
          </w:tcPr>
          <w:p>
            <w:pPr>
              <w:jc w:val="both"/>
            </w:pPr>
            <w:r>
              <w:rPr>
                <w:i/>
                <w:iCs/>
              </w:rPr>
              <w:t xml:space="preserve">Dear [Recipient's full name],</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CellMar>
          <w:top w:type="dxa" w:w="20"/>
          <w:left w:type="dxa" w:w="0"/>
          <w:bottom w:type="dxa" w:w="60"/>
          <w:right w:type="dxa" w:w="120"/>
        </w:tblCellMar>
      </w:tblPr>
      <w:tblGrid>
        <w:gridCol w:w="100"/>
        <w:gridCol w:w="100"/>
      </w:tblGrid>
      <w:tr>
        <w:tc>
          <w:tcPr>
            <w:tcW w:type="pct" w:w="50%"/>
            <w:tcBorders>
              <w:top w:val="none" w:color="FFFFFF" w:sz="0"/>
              <w:left w:val="none" w:color="FFFFFF" w:sz="0"/>
              <w:bottom w:val="none" w:color="FFFFFF" w:sz="0"/>
              <w:right w:val="none" w:color="FFFFFF" w:sz="0"/>
            </w:tcBorders>
          </w:tcPr>
          <w:p>
            <w:pPr>
              <w:jc w:val="both"/>
            </w:pPr>
            <w:r>
              <w:t xml:space="preserve">Na qualidade de [Senhorio / Arrendatário] do contrato de arrendamento acima identificado, relativo ao imóvel sito em [morada completa do imóvel], venho comunicar a minha </w:t>
            </w:r>
            <w:r>
              <w:rPr>
                <w:b/>
                <w:bCs/>
              </w:rPr>
              <w:t xml:space="preserve">oposição à renovação automática</w:t>
            </w:r>
            <w:r>
              <w:t xml:space="preserve"> do referido contrato, nos termos do artigo [1097.º / 1098.º, n.º 1] do Código Civil.</w:t>
            </w:r>
          </w:p>
        </w:tc>
        <w:tc>
          <w:tcPr>
            <w:tcW w:type="pct" w:w="50%"/>
            <w:tcBorders>
              <w:top w:val="none" w:color="FFFFFF" w:sz="0"/>
              <w:left w:val="none" w:color="FFFFFF" w:sz="0"/>
              <w:bottom w:val="none" w:color="FFFFFF" w:sz="0"/>
              <w:right w:val="none" w:color="FFFFFF" w:sz="0"/>
            </w:tcBorders>
          </w:tcPr>
          <w:p>
            <w:pPr>
              <w:jc w:val="both"/>
            </w:pPr>
            <w:r>
              <w:rPr>
                <w:i/>
                <w:iCs/>
              </w:rPr>
              <w:t xml:space="preserve">As [Landlord / Tenant] under the lease agreement identified above, concerning the property located at [full address of the property], I hereby give notice of my </w:t>
            </w:r>
            <w:r>
              <w:rPr>
                <w:b/>
                <w:bCs/>
                <w:i/>
                <w:iCs/>
              </w:rPr>
              <w:t xml:space="preserve">opposition to the automatic renewal</w:t>
            </w:r>
            <w:r>
              <w:rPr>
                <w:i/>
                <w:iCs/>
              </w:rPr>
              <w:t xml:space="preserve"> of that lease, under article [1097 / 1098(1)] of the Civil Code.</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CellMar>
          <w:top w:type="dxa" w:w="20"/>
          <w:left w:type="dxa" w:w="0"/>
          <w:bottom w:type="dxa" w:w="60"/>
          <w:right w:type="dxa" w:w="120"/>
        </w:tblCellMar>
      </w:tblPr>
      <w:tblGrid>
        <w:gridCol w:w="100"/>
        <w:gridCol w:w="100"/>
      </w:tblGrid>
      <w:tr>
        <w:tc>
          <w:tcPr>
            <w:tcW w:type="pct" w:w="50%"/>
            <w:tcBorders>
              <w:top w:val="none" w:color="FFFFFF" w:sz="0"/>
              <w:left w:val="none" w:color="FFFFFF" w:sz="0"/>
              <w:bottom w:val="none" w:color="FFFFFF" w:sz="0"/>
              <w:right w:val="none" w:color="FFFFFF" w:sz="0"/>
            </w:tcBorders>
          </w:tcPr>
          <w:p>
            <w:pPr>
              <w:jc w:val="both"/>
            </w:pPr>
            <w:r>
              <w:t xml:space="preserve">Em consequência, o contrato </w:t>
            </w:r>
            <w:r>
              <w:rPr>
                <w:b/>
                <w:bCs/>
              </w:rPr>
              <w:t xml:space="preserve">não se renova</w:t>
            </w:r>
            <w:r>
              <w:t xml:space="preserve"> e cessa no termo do prazo em curso, em [data do termo], sendo a presente comunicação feita com a antecedência mínima legal de [n.º de dias] dias, contada por referência a esse termo (artigos 1097.º, n.º 2, e 1098.º, n.º 2, do Código Civil).</w:t>
            </w:r>
          </w:p>
        </w:tc>
        <w:tc>
          <w:tcPr>
            <w:tcW w:type="pct" w:w="50%"/>
            <w:tcBorders>
              <w:top w:val="none" w:color="FFFFFF" w:sz="0"/>
              <w:left w:val="none" w:color="FFFFFF" w:sz="0"/>
              <w:bottom w:val="none" w:color="FFFFFF" w:sz="0"/>
              <w:right w:val="none" w:color="FFFFFF" w:sz="0"/>
            </w:tcBorders>
          </w:tcPr>
          <w:p>
            <w:pPr>
              <w:jc w:val="both"/>
            </w:pPr>
            <w:r>
              <w:rPr>
                <w:i/>
                <w:iCs/>
              </w:rPr>
              <w:t xml:space="preserve">Consequently, the lease </w:t>
            </w:r>
            <w:r>
              <w:rPr>
                <w:b/>
                <w:bCs/>
                <w:i/>
                <w:iCs/>
              </w:rPr>
              <w:t xml:space="preserve">will not be renewed</w:t>
            </w:r>
            <w:r>
              <w:rPr>
                <w:i/>
                <w:iCs/>
              </w:rPr>
              <w:t xml:space="preserve"> and ends at the expiry of the current term, on [end date], this notice being given with the statutory minimum of [number of days] days, counted back from that date (articles 1097(2) and 1098(2) of the Civil Code).</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CellMar>
          <w:top w:type="dxa" w:w="20"/>
          <w:left w:type="dxa" w:w="0"/>
          <w:bottom w:type="dxa" w:w="60"/>
          <w:right w:type="dxa" w:w="120"/>
        </w:tblCellMar>
      </w:tblPr>
      <w:tblGrid>
        <w:gridCol w:w="100"/>
        <w:gridCol w:w="100"/>
      </w:tblGrid>
      <w:tr>
        <w:tc>
          <w:tcPr>
            <w:tcW w:type="pct" w:w="50%"/>
            <w:tcBorders>
              <w:top w:val="none" w:color="FFFFFF" w:sz="0"/>
              <w:left w:val="none" w:color="FFFFFF" w:sz="0"/>
              <w:bottom w:val="none" w:color="FFFFFF" w:sz="0"/>
              <w:right w:val="none" w:color="FFFFFF" w:sz="0"/>
            </w:tcBorders>
          </w:tcPr>
          <w:p>
            <w:pPr>
              <w:jc w:val="both"/>
            </w:pPr>
            <w:r>
              <w:t xml:space="preserve">Nessa data, o imóvel deverá ser desocupado e entregue, com todas as chaves, em data e hora a combinar entre as partes, procedendo-se à vistoria de saída e ao acerto de contas, incluindo a caução.</w:t>
            </w:r>
          </w:p>
        </w:tc>
        <w:tc>
          <w:tcPr>
            <w:tcW w:type="pct" w:w="50%"/>
            <w:tcBorders>
              <w:top w:val="none" w:color="FFFFFF" w:sz="0"/>
              <w:left w:val="none" w:color="FFFFFF" w:sz="0"/>
              <w:bottom w:val="none" w:color="FFFFFF" w:sz="0"/>
              <w:right w:val="none" w:color="FFFFFF" w:sz="0"/>
            </w:tcBorders>
          </w:tcPr>
          <w:p>
            <w:pPr>
              <w:jc w:val="both"/>
            </w:pPr>
            <w:r>
              <w:rPr>
                <w:i/>
                <w:iCs/>
              </w:rPr>
              <w:t xml:space="preserve">On that date the property is to be vacated and handed back with all keys, on a day and at a time to be agreed between the parties, followed by the check-out inspection and the final settlement, including the security deposit.</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CellMar>
          <w:top w:type="dxa" w:w="20"/>
          <w:left w:type="dxa" w:w="0"/>
          <w:bottom w:type="dxa" w:w="60"/>
          <w:right w:type="dxa" w:w="120"/>
        </w:tblCellMar>
      </w:tblPr>
      <w:tblGrid>
        <w:gridCol w:w="100"/>
        <w:gridCol w:w="100"/>
      </w:tblGrid>
      <w:tr>
        <w:tc>
          <w:tcPr>
            <w:tcW w:type="pct" w:w="50%"/>
            <w:tcBorders>
              <w:top w:val="none" w:color="FFFFFF" w:sz="0"/>
              <w:left w:val="none" w:color="FFFFFF" w:sz="0"/>
              <w:bottom w:val="none" w:color="FFFFFF" w:sz="0"/>
              <w:right w:val="none" w:color="FFFFFF" w:sz="0"/>
            </w:tcBorders>
          </w:tcPr>
          <w:p>
            <w:pPr>
              <w:jc w:val="both"/>
            </w:pPr>
            <w:r>
              <w:t xml:space="preserve">Com os melhores cumprimentos,</w:t>
            </w:r>
          </w:p>
        </w:tc>
        <w:tc>
          <w:tcPr>
            <w:tcW w:type="pct" w:w="50%"/>
            <w:tcBorders>
              <w:top w:val="none" w:color="FFFFFF" w:sz="0"/>
              <w:left w:val="none" w:color="FFFFFF" w:sz="0"/>
              <w:bottom w:val="none" w:color="FFFFFF" w:sz="0"/>
              <w:right w:val="none" w:color="FFFFFF" w:sz="0"/>
            </w:tcBorders>
          </w:tcPr>
          <w:p>
            <w:pPr>
              <w:jc w:val="both"/>
            </w:pPr>
            <w:r>
              <w:rPr>
                <w:i/>
                <w:iCs/>
              </w:rPr>
              <w:t xml:space="preserve">Yours sincerely,</w:t>
            </w:r>
          </w:p>
        </w:tc>
      </w:tr>
    </w:tbl>
    <w:p>
      <w:pPr>
        <w:spacing w:after="200" w:before="300"/>
      </w:pPr>
      <w:r>
        <w:t xml:space="preserve">Feito em _____________________, aos ____ de ______________ de 20____</w:t>
      </w:r>
      <w:r>
        <w:rPr>
          <w:i/>
          <w:iCs/>
        </w:rPr>
        <w:t xml:space="preserve">  / Done at, on (date)</w:t>
      </w:r>
    </w:p>
    <w:tbl>
      <w:tblPr>
        <w:tblW w:type="pct" w:w="1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200"/>
          <w:bottom w:type="dxa" w:w="0"/>
          <w:right w:type="dxa" w:w="200"/>
        </w:tblCellMar>
      </w:tblPr>
      <w:tblGrid>
        <w:gridCol w:w="100"/>
        <w:gridCol w:w="100"/>
      </w:tblGrid>
      <w:tr>
        <w:tc>
          <w:tcPr>
            <w:tcW w:type="pct" w:w="50%"/>
            <w:tcBorders>
              <w:top w:val="none" w:color="FFFFFF" w:sz="0"/>
              <w:left w:val="none" w:color="FFFFFF" w:sz="0"/>
              <w:bottom w:val="none" w:color="FFFFFF" w:sz="0"/>
              <w:right w:val="none" w:color="FFFFFF" w:sz="0"/>
            </w:tcBorders>
          </w:tcPr>
          <w:p>
            <w:pPr>
              <w:spacing w:before="700"/>
            </w:pPr>
          </w:p>
          <w:p>
            <w:pPr>
              <w:pBdr>
                <w:top w:val="single" w:color="000000" w:sz="6" w:space="4"/>
              </w:pBdr>
              <w:jc w:val="center"/>
            </w:pPr>
            <w:r>
              <w:rPr>
                <w:sz w:val="19"/>
                <w:szCs w:val="19"/>
              </w:rPr>
              <w:t xml:space="preserve">O Remetente</w:t>
            </w:r>
            <w:r>
              <w:rPr>
                <w:sz w:val="19"/>
                <w:szCs w:val="19"/>
              </w:rPr>
              <w:t xml:space="preserve"> / </w:t>
            </w:r>
            <w:r>
              <w:rPr>
                <w:i/>
                <w:iCs/>
                <w:sz w:val="19"/>
                <w:szCs w:val="19"/>
              </w:rPr>
              <w:t xml:space="preserve">The Sender</w:t>
            </w:r>
          </w:p>
          <w:p>
            <w:pPr>
              <w:jc w:val="center"/>
            </w:pPr>
            <w:r>
              <w:rPr>
                <w:color w:val="555555"/>
                <w:sz w:val="16"/>
                <w:szCs w:val="16"/>
              </w:rPr>
              <w:t xml:space="preserve">(assinatura do declarante — art. 9.º, n.º 1, NRAU)</w:t>
            </w:r>
            <w:r>
              <w:rPr>
                <w:color w:val="555555"/>
                <w:sz w:val="16"/>
                <w:szCs w:val="16"/>
              </w:rPr>
              <w:t xml:space="preserve"> / </w:t>
            </w:r>
            <w:r>
              <w:rPr>
                <w:i/>
                <w:iCs/>
                <w:color w:val="555555"/>
                <w:sz w:val="16"/>
                <w:szCs w:val="16"/>
              </w:rPr>
              <w:t xml:space="preserve">(signature of the declaring party — art. 9(1) NRAU)</w:t>
            </w:r>
          </w:p>
        </w:tc>
        <w:tc>
          <w:tcPr>
            <w:tcW w:type="pct" w:w="50%"/>
            <w:tcBorders>
              <w:top w:val="none" w:color="FFFFFF" w:sz="0"/>
              <w:left w:val="none" w:color="FFFFFF" w:sz="0"/>
              <w:bottom w:val="none" w:color="FFFFFF" w:sz="0"/>
              <w:right w:val="none" w:color="FFFFFF" w:sz="0"/>
            </w:tcBorders>
          </w:tcPr>
          <w:p>
            <w:pPr>
              <w:spacing w:before="700"/>
            </w:pPr>
          </w:p>
          <w:p>
            <w:pPr>
              <w:pBdr>
                <w:top w:val="single" w:color="000000" w:sz="6" w:space="4"/>
              </w:pBdr>
              <w:jc w:val="center"/>
            </w:pPr>
            <w:r>
              <w:rPr>
                <w:sz w:val="19"/>
                <w:szCs w:val="19"/>
              </w:rPr>
              <w:t xml:space="preserve">Recebi o original — o Destinatário</w:t>
            </w:r>
            <w:r>
              <w:rPr>
                <w:sz w:val="19"/>
                <w:szCs w:val="19"/>
              </w:rPr>
              <w:t xml:space="preserve"> / </w:t>
            </w:r>
            <w:r>
              <w:rPr>
                <w:i/>
                <w:iCs/>
                <w:sz w:val="19"/>
                <w:szCs w:val="19"/>
              </w:rPr>
              <w:t xml:space="preserve">Original received — the Recipient</w:t>
            </w:r>
          </w:p>
          <w:p>
            <w:pPr>
              <w:jc w:val="center"/>
            </w:pPr>
            <w:r>
              <w:rPr>
                <w:color w:val="555555"/>
                <w:sz w:val="16"/>
                <w:szCs w:val="16"/>
              </w:rPr>
              <w:t xml:space="preserve">(só em caso de entrega em mão, na cópia — art. 9.º, n.º 6, NRAU)</w:t>
            </w:r>
            <w:r>
              <w:rPr>
                <w:color w:val="555555"/>
                <w:sz w:val="16"/>
                <w:szCs w:val="16"/>
              </w:rPr>
              <w:t xml:space="preserve"> / </w:t>
            </w:r>
            <w:r>
              <w:rPr>
                <w:i/>
                <w:iCs/>
                <w:color w:val="555555"/>
                <w:sz w:val="16"/>
                <w:szCs w:val="16"/>
              </w:rPr>
              <w:t xml:space="preserve">(only for hand delivery, on the copy — art. 9(6) NRAU)</w:t>
            </w:r>
          </w:p>
        </w:tc>
      </w:tr>
    </w:tbl>
    <w:p>
      <w:pPr>
        <w:keepNext/>
        <w:pBdr>
          <w:bottom w:val="single" w:color="333333" w:sz="6" w:space="2"/>
        </w:pBdr>
        <w:spacing w:after="120" w:before="260"/>
      </w:pPr>
      <w:r>
        <w:rPr>
          <w:b/>
          <w:bCs/>
          <w:sz w:val="21"/>
          <w:szCs w:val="21"/>
        </w:rPr>
        <w:t xml:space="preserve">ANTES DE ENVIAR</w:t>
      </w:r>
      <w:r>
        <w:rPr>
          <w:b/>
          <w:bCs/>
          <w:sz w:val="21"/>
          <w:szCs w:val="21"/>
        </w:rPr>
        <w:t xml:space="preserve"> / </w:t>
      </w:r>
      <w:r>
        <w:rPr>
          <w:b/>
          <w:bCs/>
          <w:i/>
          <w:iCs/>
          <w:sz w:val="21"/>
          <w:szCs w:val="21"/>
        </w:rPr>
        <w:t xml:space="preserve">BEFORE SENDING</w:t>
      </w:r>
    </w:p>
    <w:tbl>
      <w:tblPr>
        <w:tblW w:type="pct" w:w="100%"/>
        <w:tblBorders>
          <w:top w:val="none" w:color="FFFFFF" w:sz="0"/>
          <w:left w:val="none" w:color="FFFFFF" w:sz="0"/>
          <w:bottom w:val="none" w:color="FFFFFF" w:sz="0"/>
          <w:right w:val="none" w:color="FFFFFF" w:sz="0"/>
          <w:insideH w:val="none" w:color="FFFFFF" w:sz="0"/>
          <w:insideV w:val="none" w:color="FFFFFF" w:sz="0"/>
        </w:tblBorders>
        <w:tblCellMar>
          <w:top w:type="dxa" w:w="20"/>
          <w:left w:type="dxa" w:w="0"/>
          <w:bottom w:type="dxa" w:w="60"/>
          <w:right w:type="dxa" w:w="120"/>
        </w:tblCellMar>
      </w:tblPr>
      <w:tblGrid>
        <w:gridCol w:w="100"/>
        <w:gridCol w:w="100"/>
      </w:tblGrid>
      <w:tr>
        <w:tc>
          <w:tcPr>
            <w:tcW w:type="pct" w:w="50%"/>
            <w:tcBorders>
              <w:top w:val="none" w:color="FFFFFF" w:sz="0"/>
              <w:left w:val="none" w:color="FFFFFF" w:sz="0"/>
              <w:bottom w:val="none" w:color="FFFFFF" w:sz="0"/>
              <w:right w:val="none" w:color="FFFFFF" w:sz="0"/>
            </w:tcBorders>
          </w:tcPr>
          <w:p>
            <w:pPr>
              <w:jc w:val="both"/>
            </w:pPr>
            <w:r>
              <w:rPr>
                <w:b/>
                <w:bCs/>
                <w:i/>
                <w:iCs/>
                <w:color w:val="444444"/>
                <w:sz w:val="18"/>
                <w:szCs w:val="18"/>
              </w:rPr>
              <w:t xml:space="preserve">1. Forma de envio.</w:t>
            </w:r>
            <w:r>
              <w:rPr>
                <w:i/>
                <w:iCs/>
                <w:color w:val="444444"/>
                <w:sz w:val="18"/>
                <w:szCs w:val="18"/>
              </w:rPr>
              <w:t xml:space="preserve"> Escrito assinado e remetido por carta registada com aviso de receção (art. 9.º, n.º 1, NRAU), ou entregue em mão, com assinatura do destinatário na cópia e nota de receção (n.º 6). Cartas ao Arrendatário vão para o locado, salvo indicação escrita em contrário; cartas ao Senhorio vão para o endereço do contrato ou da última comunicação (n.os 2 e 3). Se a carta for devolvida nas situações do art. 10.º, n.º 2, NRAU, envie nova carta registada com aviso de receção 30 a 60 dias após a primeira (art. 10.º, n.º 3).</w:t>
            </w:r>
          </w:p>
        </w:tc>
        <w:tc>
          <w:tcPr>
            <w:tcW w:type="pct" w:w="50%"/>
            <w:tcBorders>
              <w:top w:val="none" w:color="FFFFFF" w:sz="0"/>
              <w:left w:val="none" w:color="FFFFFF" w:sz="0"/>
              <w:bottom w:val="none" w:color="FFFFFF" w:sz="0"/>
              <w:right w:val="none" w:color="FFFFFF" w:sz="0"/>
            </w:tcBorders>
          </w:tcPr>
          <w:p>
            <w:pPr>
              <w:jc w:val="both"/>
            </w:pPr>
            <w:r>
              <w:rPr>
                <w:b/>
                <w:bCs/>
                <w:i/>
                <w:iCs/>
                <w:color w:val="444444"/>
                <w:sz w:val="18"/>
                <w:szCs w:val="18"/>
              </w:rPr>
              <w:t xml:space="preserve">1. How to send it.</w:t>
            </w:r>
            <w:r>
              <w:rPr>
                <w:i/>
                <w:iCs/>
                <w:color w:val="444444"/>
                <w:sz w:val="18"/>
                <w:szCs w:val="18"/>
              </w:rPr>
              <w:t xml:space="preserve"> A written notice signed and sent by registered letter with acknowledgement of receipt (art. 9(1) NRAU), or handed over in person, with the recipient signing the copy and noting receipt (paragraph 6). Letters to the Tenant go to the leased premises unless the Tenant has indicated otherwise in writing; letters to the Landlord go to the address in the lease or in the latest notice (paragraphs 2 and 3). If the letter is returned in the cases of art. 10(2) NRAU, send a new registered letter with acknowledgement of receipt 30 to 60 days after the first (art. 10(3)).</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CellMar>
          <w:top w:type="dxa" w:w="20"/>
          <w:left w:type="dxa" w:w="0"/>
          <w:bottom w:type="dxa" w:w="60"/>
          <w:right w:type="dxa" w:w="120"/>
        </w:tblCellMar>
      </w:tblPr>
      <w:tblGrid>
        <w:gridCol w:w="100"/>
        <w:gridCol w:w="100"/>
      </w:tblGrid>
      <w:tr>
        <w:tc>
          <w:tcPr>
            <w:tcW w:type="pct" w:w="50%"/>
            <w:tcBorders>
              <w:top w:val="none" w:color="FFFFFF" w:sz="0"/>
              <w:left w:val="none" w:color="FFFFFF" w:sz="0"/>
              <w:bottom w:val="none" w:color="FFFFFF" w:sz="0"/>
              <w:right w:val="none" w:color="FFFFFF" w:sz="0"/>
            </w:tcBorders>
          </w:tcPr>
          <w:p>
            <w:pPr>
              <w:jc w:val="both"/>
            </w:pPr>
            <w:r>
              <w:rPr>
                <w:b/>
                <w:bCs/>
                <w:i/>
                <w:iCs/>
                <w:color w:val="444444"/>
                <w:sz w:val="18"/>
                <w:szCs w:val="18"/>
              </w:rPr>
              <w:t xml:space="preserve">2. Senhorio — primeira renovação.</w:t>
            </w:r>
            <w:r>
              <w:rPr>
                <w:i/>
                <w:iCs/>
                <w:color w:val="444444"/>
                <w:sz w:val="18"/>
                <w:szCs w:val="18"/>
              </w:rPr>
              <w:t xml:space="preserve"> A oposição do Senhorio à primeira renovação só produz efeitos decorridos três anos da celebração do contrato, mantendo-se este em vigor até essa data, salvo necessidade de habitação pelo próprio ou pelos seus descendentes em 1.º grau (art. 1097.º, n.os 3 e 4).</w:t>
            </w:r>
          </w:p>
        </w:tc>
        <w:tc>
          <w:tcPr>
            <w:tcW w:type="pct" w:w="50%"/>
            <w:tcBorders>
              <w:top w:val="none" w:color="FFFFFF" w:sz="0"/>
              <w:left w:val="none" w:color="FFFFFF" w:sz="0"/>
              <w:bottom w:val="none" w:color="FFFFFF" w:sz="0"/>
              <w:right w:val="none" w:color="FFFFFF" w:sz="0"/>
            </w:tcBorders>
          </w:tcPr>
          <w:p>
            <w:pPr>
              <w:jc w:val="both"/>
            </w:pPr>
            <w:r>
              <w:rPr>
                <w:b/>
                <w:bCs/>
                <w:i/>
                <w:iCs/>
                <w:color w:val="444444"/>
                <w:sz w:val="18"/>
                <w:szCs w:val="18"/>
              </w:rPr>
              <w:t xml:space="preserve">2. Landlord — first renewal.</w:t>
            </w:r>
            <w:r>
              <w:rPr>
                <w:i/>
                <w:iCs/>
                <w:color w:val="444444"/>
                <w:sz w:val="18"/>
                <w:szCs w:val="18"/>
              </w:rPr>
              <w:t xml:space="preserve"> The Landlord's opposition to the first renewal only takes effect three years after the lease was signed, the lease remaining in force until then, except where the premises are needed as a residence for the Landlord or the Landlord's first-degree descendants (art. 1097(3) and (4)).</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CellMar>
          <w:top w:type="dxa" w:w="20"/>
          <w:left w:type="dxa" w:w="0"/>
          <w:bottom w:type="dxa" w:w="60"/>
          <w:right w:type="dxa" w:w="120"/>
        </w:tblCellMar>
      </w:tblPr>
      <w:tblGrid>
        <w:gridCol w:w="100"/>
        <w:gridCol w:w="100"/>
      </w:tblGrid>
      <w:tr>
        <w:tc>
          <w:tcPr>
            <w:tcW w:type="pct" w:w="50%"/>
            <w:tcBorders>
              <w:top w:val="none" w:color="FFFFFF" w:sz="0"/>
              <w:left w:val="none" w:color="FFFFFF" w:sz="0"/>
              <w:bottom w:val="none" w:color="FFFFFF" w:sz="0"/>
              <w:right w:val="none" w:color="FFFFFF" w:sz="0"/>
            </w:tcBorders>
          </w:tcPr>
          <w:p>
            <w:pPr>
              <w:jc w:val="both"/>
            </w:pPr>
            <w:r>
              <w:rPr>
                <w:b/>
                <w:bCs/>
                <w:i/>
                <w:iCs/>
                <w:color w:val="444444"/>
                <w:sz w:val="18"/>
                <w:szCs w:val="18"/>
              </w:rPr>
              <w:t xml:space="preserve">3. Arrendatário — atraso no aviso.</w:t>
            </w:r>
            <w:r>
              <w:rPr>
                <w:i/>
                <w:iCs/>
                <w:color w:val="444444"/>
                <w:sz w:val="18"/>
                <w:szCs w:val="18"/>
              </w:rPr>
              <w:t xml:space="preserve"> A falta da antecedência legal não impede a cessação do contrato, mas obriga ao pagamento das rendas correspondentes ao período de pré-aviso em falta, salvo desemprego involuntário, incapacidade permanente para o trabalho ou morte do arrendatário ou de pessoa que com ele viva em economia comum há mais de um ano (art. 1098.º, n.º 6). Para sair antes do termo, o Arrendatário usa a denúncia (art. 1098.º, n.os 3 a 5), não esta carta.</w:t>
            </w:r>
          </w:p>
        </w:tc>
        <w:tc>
          <w:tcPr>
            <w:tcW w:type="pct" w:w="50%"/>
            <w:tcBorders>
              <w:top w:val="none" w:color="FFFFFF" w:sz="0"/>
              <w:left w:val="none" w:color="FFFFFF" w:sz="0"/>
              <w:bottom w:val="none" w:color="FFFFFF" w:sz="0"/>
              <w:right w:val="none" w:color="FFFFFF" w:sz="0"/>
            </w:tcBorders>
          </w:tcPr>
          <w:p>
            <w:pPr>
              <w:jc w:val="both"/>
            </w:pPr>
            <w:r>
              <w:rPr>
                <w:b/>
                <w:bCs/>
                <w:i/>
                <w:iCs/>
                <w:color w:val="444444"/>
                <w:sz w:val="18"/>
                <w:szCs w:val="18"/>
              </w:rPr>
              <w:t xml:space="preserve">3. Tenant — late notice.</w:t>
            </w:r>
            <w:r>
              <w:rPr>
                <w:i/>
                <w:iCs/>
                <w:color w:val="444444"/>
                <w:sz w:val="18"/>
                <w:szCs w:val="18"/>
              </w:rPr>
              <w:t xml:space="preserve"> Failing to give the statutory notice does not prevent the lease from ending, but the Tenant must pay the rent for the missing notice period, except in case of involuntary unemployment, permanent incapacity for work or death of the Tenant or of a person living with the Tenant in a shared household for more than one year (art. 1098(6)). To leave before the end of the term, the Tenant uses termination by notice (denúncia, art. 1098(3) to (5)), not this letter.</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CellMar>
          <w:top w:type="dxa" w:w="20"/>
          <w:left w:type="dxa" w:w="0"/>
          <w:bottom w:type="dxa" w:w="60"/>
          <w:right w:type="dxa" w:w="120"/>
        </w:tblCellMar>
      </w:tblPr>
      <w:tblGrid>
        <w:gridCol w:w="100"/>
        <w:gridCol w:w="100"/>
      </w:tblGrid>
      <w:tr>
        <w:tc>
          <w:tcPr>
            <w:tcW w:type="pct" w:w="50%"/>
            <w:tcBorders>
              <w:top w:val="none" w:color="FFFFFF" w:sz="0"/>
              <w:left w:val="none" w:color="FFFFFF" w:sz="0"/>
              <w:bottom w:val="none" w:color="FFFFFF" w:sz="0"/>
              <w:right w:val="none" w:color="FFFFFF" w:sz="0"/>
            </w:tcBorders>
          </w:tcPr>
          <w:p>
            <w:pPr>
              <w:jc w:val="both"/>
            </w:pPr>
            <w:r>
              <w:rPr>
                <w:b/>
                <w:bCs/>
                <w:i/>
                <w:iCs/>
                <w:color w:val="444444"/>
                <w:sz w:val="18"/>
                <w:szCs w:val="18"/>
              </w:rPr>
              <w:t xml:space="preserve">4. Não serve para outros fins.</w:t>
            </w:r>
            <w:r>
              <w:rPr>
                <w:i/>
                <w:iCs/>
                <w:color w:val="444444"/>
                <w:sz w:val="18"/>
                <w:szCs w:val="18"/>
              </w:rPr>
              <w:t xml:space="preserve"> Esta carta só impede a renovação no termo do prazo. Não se aplica a contratos sem renovação automática (art. 1096.º) nem serve para resolver o contrato por incumprimento, que segue forma e fundamentos próprios.</w:t>
            </w:r>
          </w:p>
        </w:tc>
        <w:tc>
          <w:tcPr>
            <w:tcW w:type="pct" w:w="50%"/>
            <w:tcBorders>
              <w:top w:val="none" w:color="FFFFFF" w:sz="0"/>
              <w:left w:val="none" w:color="FFFFFF" w:sz="0"/>
              <w:bottom w:val="none" w:color="FFFFFF" w:sz="0"/>
              <w:right w:val="none" w:color="FFFFFF" w:sz="0"/>
            </w:tcBorders>
          </w:tcPr>
          <w:p>
            <w:pPr>
              <w:jc w:val="both"/>
            </w:pPr>
            <w:r>
              <w:rPr>
                <w:b/>
                <w:bCs/>
                <w:i/>
                <w:iCs/>
                <w:color w:val="444444"/>
                <w:sz w:val="18"/>
                <w:szCs w:val="18"/>
              </w:rPr>
              <w:t xml:space="preserve">4. Not for other purposes.</w:t>
            </w:r>
            <w:r>
              <w:rPr>
                <w:i/>
                <w:iCs/>
                <w:color w:val="444444"/>
                <w:sz w:val="18"/>
                <w:szCs w:val="18"/>
              </w:rPr>
              <w:t xml:space="preserve"> This letter only prevents renewal at the end of the term. It does not apply to leases without automatic renewal (art. 1096) and cannot be used to terminate the lease for breach, which follows its own form and grounds.</w:t>
            </w:r>
          </w:p>
        </w:tc>
      </w:tr>
    </w:tbl>
    <w:p>
      <w:pPr>
        <w:spacing w:before="240"/>
      </w:pPr>
    </w:p>
    <w:tbl>
      <w:tblPr>
        <w:tblW w:type="pct" w:w="100%"/>
        <w:tblBorders>
          <w:top w:val="single" w:color="B8C7C7" w:sz="6"/>
          <w:left w:val="single" w:color="B8C7C7" w:sz="6"/>
          <w:bottom w:val="single" w:color="B8C7C7" w:sz="6"/>
          <w:right w:val="single" w:color="B8C7C7" w:sz="6"/>
          <w:insideH w:val="none" w:color="FFFFFF" w:sz="0"/>
          <w:insideV w:val="none" w:color="FFFFFF" w:sz="0"/>
        </w:tblBorders>
        <w:tblCellMar>
          <w:top w:type="dxa" w:w="140"/>
          <w:left w:type="dxa" w:w="200"/>
          <w:bottom w:type="dxa" w:w="140"/>
          <w:right w:type="dxa" w:w="200"/>
        </w:tblCellMar>
      </w:tblPr>
      <w:tblGrid>
        <w:gridCol w:w="100"/>
      </w:tblGrid>
      <w:tr>
        <w:tc>
          <w:tcPr>
            <w:tcBorders>
              <w:top w:val="none" w:color="FFFFFF" w:sz="0"/>
              <w:left w:val="none" w:color="FFFFFF" w:sz="0"/>
              <w:bottom w:val="none" w:color="FFFFFF" w:sz="0"/>
              <w:right w:val="none" w:color="FFFFFF" w:sz="0"/>
            </w:tcBorders>
            <w:shd w:fill="F6FAFA" w:val="clear"/>
          </w:tcPr>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c>
                <w:tcPr>
                  <w:tcW w:type="pct" w:w="50%"/>
                  <w:tcBorders>
                    <w:top w:val="none" w:color="FFFFFF" w:sz="0"/>
                    <w:left w:val="none" w:color="FFFFFF" w:sz="0"/>
                    <w:bottom w:val="none" w:color="FFFFFF" w:sz="0"/>
                    <w:right w:val="none" w:color="FFFFFF" w:sz="0"/>
                  </w:tcBorders>
                </w:tcPr>
                <w:p>
                  <w:pPr>
                    <w:spacing w:after="80"/>
                  </w:pPr>
                  <w:r>
                    <w:rPr>
                      <w:rFonts w:ascii="Arial" w:cs="Arial" w:eastAsia="Arial" w:hAnsi="Arial"/>
                      <w:b/>
                      <w:bCs/>
                      <w:color w:val="00504F"/>
                      <w:sz w:val="20"/>
                      <w:szCs w:val="20"/>
                    </w:rPr>
                    <w:t xml:space="preserve">Gira os seus arrendamentos gratuitamente na app Aluseg</w:t>
                  </w:r>
                </w:p>
                <w:p>
                  <w:pPr>
                    <w:spacing w:after="40"/>
                    <w:ind w:left="160"/>
                  </w:pPr>
                  <w:r>
                    <w:rPr>
                      <w:rFonts w:ascii="Arial" w:cs="Arial" w:eastAsia="Arial" w:hAnsi="Arial"/>
                      <w:color w:val="333333"/>
                      <w:sz w:val="17"/>
                      <w:szCs w:val="17"/>
                    </w:rPr>
                    <w:t xml:space="preserve">• Receba o alerta da data-limite de não renovação de cada contrato, para o Senhorio e para o Arrendatário</w:t>
                  </w:r>
                </w:p>
                <w:p>
                  <w:pPr>
                    <w:spacing w:after="40"/>
                    <w:ind w:left="160"/>
                  </w:pPr>
                  <w:r>
                    <w:rPr>
                      <w:rFonts w:ascii="Arial" w:cs="Arial" w:eastAsia="Arial" w:hAnsi="Arial"/>
                      <w:color w:val="333333"/>
                      <w:sz w:val="17"/>
                      <w:szCs w:val="17"/>
                    </w:rPr>
                    <w:t xml:space="preserve">• Conta gratuita — imóveis, inquilinos, contratos e documentos num só lugar</w:t>
                  </w:r>
                </w:p>
                <w:p>
                  <w:pPr>
                    <w:spacing w:after="40"/>
                    <w:ind w:left="160"/>
                  </w:pPr>
                  <w:r>
                    <w:rPr>
                      <w:rFonts w:ascii="Arial" w:cs="Arial" w:eastAsia="Arial" w:hAnsi="Arial"/>
                      <w:color w:val="333333"/>
                      <w:sz w:val="17"/>
                      <w:szCs w:val="17"/>
                    </w:rPr>
                    <w:t xml:space="preserve">• Comunicação do contrato à AT e recibos de renda eletrónicos</w:t>
                  </w:r>
                </w:p>
                <w:p>
                  <w:pPr>
                    <w:spacing w:after="40"/>
                    <w:ind w:left="160"/>
                  </w:pPr>
                  <w:r>
                    <w:rPr>
                      <w:rFonts w:ascii="Arial" w:cs="Arial" w:eastAsia="Arial" w:hAnsi="Arial"/>
                      <w:color w:val="333333"/>
                      <w:sz w:val="17"/>
                      <w:szCs w:val="17"/>
                    </w:rPr>
                    <w:t xml:space="preserve">• Atualização anual da renda calculada automaticamente (coeficiente INE)</w:t>
                  </w:r>
                </w:p>
                <w:p>
                  <w:pPr>
                    <w:spacing w:after="40"/>
                    <w:ind w:left="160"/>
                  </w:pPr>
                  <w:r>
                    <w:rPr>
                      <w:rFonts w:ascii="Arial" w:cs="Arial" w:eastAsia="Arial" w:hAnsi="Arial"/>
                      <w:color w:val="333333"/>
                      <w:sz w:val="17"/>
                      <w:szCs w:val="17"/>
                    </w:rPr>
                    <w:t xml:space="preserve">• Verificação de solvência de candidatos e avisos de prazos legais</w:t>
                  </w:r>
                </w:p>
                <w:p>
                  <w:pPr>
                    <w:spacing w:after="40" w:before="80"/>
                  </w:pPr>
                  <w:r>
                    <w:rPr>
                      <w:rFonts w:ascii="Arial" w:cs="Arial" w:eastAsia="Arial" w:hAnsi="Arial"/>
                      <w:color w:val="333333"/>
                      <w:sz w:val="17"/>
                      <w:szCs w:val="17"/>
                    </w:rPr>
                    <w:t xml:space="preserve">Crie a sua conta gratuita em </w:t>
                  </w:r>
                  <w:hyperlink w:history="1" r:id="rIdy1igdj0figk8xdaetp0td">
                    <w:r>
                      <w:rPr>
                        <w:rFonts w:ascii="Arial" w:cs="Arial" w:eastAsia="Arial" w:hAnsi="Arial"/>
                        <w:b/>
                        <w:bCs/>
                        <w:color w:val="005869"/>
                        <w:sz w:val="17"/>
                        <w:szCs w:val="17"/>
                      </w:rPr>
                      <w:t xml:space="preserve">app.aluseg.com</w:t>
                    </w:r>
                  </w:hyperlink>
                  <w:r>
                    <w:rPr>
                      <w:rFonts w:ascii="Arial" w:cs="Arial" w:eastAsia="Arial" w:hAnsi="Arial"/>
                      <w:color w:val="333333"/>
                      <w:sz w:val="17"/>
                      <w:szCs w:val="17"/>
                    </w:rPr>
                    <w:t xml:space="preserve"> — Sem cartão de crédito · Menos de 2 minutos</w:t>
                  </w:r>
                </w:p>
              </w:tc>
              <w:tc>
                <w:tcPr>
                  <w:tcW w:type="pct" w:w="50%"/>
                  <w:tcBorders>
                    <w:top w:val="none" w:color="FFFFFF" w:sz="0"/>
                    <w:left w:val="none" w:color="FFFFFF" w:sz="0"/>
                    <w:bottom w:val="none" w:color="FFFFFF" w:sz="0"/>
                    <w:right w:val="none" w:color="FFFFFF" w:sz="0"/>
                  </w:tcBorders>
                </w:tcPr>
                <w:p>
                  <w:pPr>
                    <w:spacing w:after="80"/>
                  </w:pPr>
                  <w:r>
                    <w:rPr>
                      <w:rFonts w:ascii="Arial" w:cs="Arial" w:eastAsia="Arial" w:hAnsi="Arial"/>
                      <w:b/>
                      <w:bCs/>
                      <w:color w:val="00504F"/>
                      <w:sz w:val="20"/>
                      <w:szCs w:val="20"/>
                    </w:rPr>
                    <w:t xml:space="preserve">Manage your rentals for free with the Aluseg app</w:t>
                  </w:r>
                </w:p>
                <w:p>
                  <w:pPr>
                    <w:spacing w:after="40"/>
                    <w:ind w:left="160"/>
                  </w:pPr>
                  <w:r>
                    <w:rPr>
                      <w:rFonts w:ascii="Arial" w:cs="Arial" w:eastAsia="Arial" w:hAnsi="Arial"/>
                      <w:color w:val="333333"/>
                      <w:sz w:val="17"/>
                      <w:szCs w:val="17"/>
                    </w:rPr>
                    <w:t xml:space="preserve">• Get alerted to each lease's non-renewal deadline, for both Landlord and Tenant</w:t>
                  </w:r>
                </w:p>
                <w:p>
                  <w:pPr>
                    <w:spacing w:after="40"/>
                    <w:ind w:left="160"/>
                  </w:pPr>
                  <w:r>
                    <w:rPr>
                      <w:rFonts w:ascii="Arial" w:cs="Arial" w:eastAsia="Arial" w:hAnsi="Arial"/>
                      <w:color w:val="333333"/>
                      <w:sz w:val="17"/>
                      <w:szCs w:val="17"/>
                    </w:rPr>
                    <w:t xml:space="preserve">• Free account — properties, tenants, leases and documents in one place</w:t>
                  </w:r>
                </w:p>
                <w:p>
                  <w:pPr>
                    <w:spacing w:after="40"/>
                    <w:ind w:left="160"/>
                  </w:pPr>
                  <w:r>
                    <w:rPr>
                      <w:rFonts w:ascii="Arial" w:cs="Arial" w:eastAsia="Arial" w:hAnsi="Arial"/>
                      <w:color w:val="333333"/>
                      <w:sz w:val="17"/>
                      <w:szCs w:val="17"/>
                    </w:rPr>
                    <w:t xml:space="preserve">• Lease registration with the Tax Authority (AT) and electronic rent receipts</w:t>
                  </w:r>
                </w:p>
                <w:p>
                  <w:pPr>
                    <w:spacing w:after="40"/>
                    <w:ind w:left="160"/>
                  </w:pPr>
                  <w:r>
                    <w:rPr>
                      <w:rFonts w:ascii="Arial" w:cs="Arial" w:eastAsia="Arial" w:hAnsi="Arial"/>
                      <w:color w:val="333333"/>
                      <w:sz w:val="17"/>
                      <w:szCs w:val="17"/>
                    </w:rPr>
                    <w:t xml:space="preserve">• Annual rent update calculated automatically (INE coefficient)</w:t>
                  </w:r>
                </w:p>
                <w:p>
                  <w:pPr>
                    <w:spacing w:after="40"/>
                    <w:ind w:left="160"/>
                  </w:pPr>
                  <w:r>
                    <w:rPr>
                      <w:rFonts w:ascii="Arial" w:cs="Arial" w:eastAsia="Arial" w:hAnsi="Arial"/>
                      <w:color w:val="333333"/>
                      <w:sz w:val="17"/>
                      <w:szCs w:val="17"/>
                    </w:rPr>
                    <w:t xml:space="preserve">• Tenant screening and legal deadline reminders</w:t>
                  </w:r>
                </w:p>
                <w:p>
                  <w:pPr>
                    <w:spacing w:after="40" w:before="80"/>
                  </w:pPr>
                  <w:r>
                    <w:rPr>
                      <w:rFonts w:ascii="Arial" w:cs="Arial" w:eastAsia="Arial" w:hAnsi="Arial"/>
                      <w:color w:val="333333"/>
                      <w:sz w:val="17"/>
                      <w:szCs w:val="17"/>
                    </w:rPr>
                    <w:t xml:space="preserve">Create your free account at </w:t>
                  </w:r>
                  <w:hyperlink w:history="1" r:id="rIds4ft29o_yi916qxffzwic">
                    <w:r>
                      <w:rPr>
                        <w:rFonts w:ascii="Arial" w:cs="Arial" w:eastAsia="Arial" w:hAnsi="Arial"/>
                        <w:b/>
                        <w:bCs/>
                        <w:color w:val="005869"/>
                        <w:sz w:val="17"/>
                        <w:szCs w:val="17"/>
                      </w:rPr>
                      <w:t xml:space="preserve">app.aluseg.com</w:t>
                    </w:r>
                  </w:hyperlink>
                  <w:r>
                    <w:rPr>
                      <w:rFonts w:ascii="Arial" w:cs="Arial" w:eastAsia="Arial" w:hAnsi="Arial"/>
                      <w:color w:val="333333"/>
                      <w:sz w:val="17"/>
                      <w:szCs w:val="17"/>
                    </w:rPr>
                    <w:t xml:space="preserve"> — No credit card · Less than 2 minutes</w:t>
                  </w:r>
                </w:p>
              </w:tc>
            </w:tr>
          </w:tbl>
          <w:p>
            <w:pPr>
              <w:spacing w:before="60"/>
            </w:pPr>
            <w:r>
              <w:rPr>
                <w:rFonts w:ascii="Arial" w:cs="Arial" w:eastAsia="Arial" w:hAnsi="Arial"/>
                <w:i/>
                <w:iCs/>
                <w:color w:val="777777"/>
                <w:sz w:val="15"/>
                <w:szCs w:val="15"/>
              </w:rPr>
              <w:t xml:space="preserve">Bloco informativo — não integra o documento. / Informational block — not part of the document.</w:t>
            </w:r>
          </w:p>
        </w:tc>
      </w:tr>
    </w:tbl>
    <w:p>
      <w:pPr>
        <w:pBdr>
          <w:top w:val="single" w:color="CCCCCC" w:sz="4" w:space="4"/>
        </w:pBdr>
        <w:spacing w:before="240"/>
      </w:pPr>
      <w:r>
        <w:rPr>
          <w:rFonts w:ascii="Arial" w:cs="Arial" w:eastAsia="Arial" w:hAnsi="Arial"/>
          <w:color w:val="666666"/>
          <w:sz w:val="15"/>
          <w:szCs w:val="15"/>
        </w:rPr>
        <w:t xml:space="preserve">Gerado com Aluseg.com — modelo informativo gerado automaticamente; não dispensa aconselhamento jurídico profissional. Reveja todos os campos antes de assinar ou enviar. / Generated with Aluseg.com — informational template generated automatically; it does not replace professional legal advice. Review all fields before signing or sending. Referências legais / Legal references: Art. 1096.º do Código Civil (renovação automática); Art. 1097.º do Código Civil (oposição à renovação pelo senhorio); Art. 1098.º do Código Civil (oposição à renovação e denúncia pelo arrendatário); Art. 9.º da Lei n.º 6/2006 (NRAU) (forma das comunicações); Art. 10.º da Lei n.º 6/2006 (NRAU) (carta devolvida).</w:t>
      </w:r>
    </w:p>
    <w:sectPr>
      <w:headerReference w:type="default" r:id="rId7"/>
      <w:footerReference w:type="default" r:id="rId8"/>
      <w:pgSz w:w="11906" w:h="16838" w:orient="portrait"/>
      <w:pgMar w:top="1000" w:right="1080" w:bottom="11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888888"/>
        <w:sz w:val="14"/>
        <w:szCs w:val="14"/>
      </w:rPr>
      <w:t xml:space="preserve">Gerado com Aluseg.com — modelos gratuitos para senhorios · app.aluseg.com · </w:t>
    </w:r>
    <w:r>
      <w:rPr>
        <w:rFonts w:ascii="Arial" w:cs="Arial" w:eastAsia="Arial" w:hAnsi="Arial"/>
        <w:color w:val="888888"/>
        <w:sz w:val="14"/>
        <w:szCs w:val="14"/>
      </w:rPr>
      <w:fldChar w:fldCharType="begin"/>
      <w:instrText xml:space="preserve">PAGE</w:instrText>
      <w:fldChar w:fldCharType="separate"/>
      <w:fldChar w:fldCharType="end"/>
    </w:r>
    <w:r>
      <w:rPr>
        <w:rFonts w:ascii="Arial" w:cs="Arial" w:eastAsia="Arial" w:hAnsi="Arial"/>
        <w:color w:val="888888"/>
        <w:sz w:val="14"/>
        <w:szCs w:val="14"/>
      </w:rPr>
      <w:t xml:space="preserve">/</w:t>
    </w:r>
    <w:r>
      <w:rPr>
        <w:rFonts w:ascii="Arial" w:cs="Arial" w:eastAsia="Arial" w:hAnsi="Arial"/>
        <w:color w:val="888888"/>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05869" w:sz="12" w:space="6"/>
      </w:pBdr>
      <w:tabs>
        <w:tab w:val="right" w:pos="9746"/>
      </w:tabs>
    </w:pPr>
    <w:r>
      <w:drawing>
        <wp:inline distT="0" distB="0" distL="0" distR="0">
          <wp:extent cx="112395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23950" cy="419100"/>
                  </a:xfrm>
                  <a:prstGeom prst="rect">
                    <a:avLst/>
                  </a:prstGeom>
                </pic:spPr>
              </pic:pic>
            </a:graphicData>
          </a:graphic>
        </wp:inline>
      </w:drawing>
    </w:r>
    <w:r>
      <w:rPr>
        <w:rFonts w:ascii="Arial" w:cs="Arial" w:eastAsia="Arial" w:hAnsi="Arial"/>
        <w:color w:val="5B6770"/>
        <w:sz w:val="14"/>
        <w:szCs w:val="14"/>
      </w:rPr>
      <w:t xml:space="preserve">	Modelos gratuitos para senhorios · aluseg.com/documentos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y1igdj0figk8xdaetp0td" Type="http://schemas.openxmlformats.org/officeDocument/2006/relationships/hyperlink" Target="https://app.aluseg.com/login?mode=signup&amp;utm_source=documento&amp;utm_medium=docx&amp;utm_campaign=carta-nao-renovacao" TargetMode="External"/><Relationship Id="rIds4ft29o_yi916qxffzwic" Type="http://schemas.openxmlformats.org/officeDocument/2006/relationships/hyperlink" Target="https://app.aluseg.com/login?mode=signup&amp;utm_source=documento&amp;utm_medium=docx&amp;utm_campaign=carta-nao-renovacao"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cdbdbe0c4b8568ee3ca6a749cbb83f546f43ead0.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2026-10-12T09:19:47.172Z</dcterms:created>
  <dcterms:modified xsi:type="dcterms:W3CDTF">2026-10-12T09:19:47.172Z</dcterms:modified>
</cp:coreProperties>
</file>

<file path=docProps/custom.xml><?xml version="1.0" encoding="utf-8"?>
<Properties xmlns="http://schemas.openxmlformats.org/officeDocument/2006/custom-properties" xmlns:vt="http://schemas.openxmlformats.org/officeDocument/2006/docPropsVTypes"/>
</file>