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28"/>
          <w:szCs w:val="28"/>
        </w:rPr>
        <w:t xml:space="preserve">CARTA DE NÃO RENOVAÇÃO DO CONTRATO DE ARRENDAMENTO</w:t>
      </w:r>
    </w:p>
    <w:p>
      <w:pPr>
        <w:spacing w:after="60"/>
        <w:jc w:val="center"/>
      </w:pPr>
      <w:r>
        <w:rPr>
          <w:color w:val="333333"/>
          <w:sz w:val="19"/>
          <w:szCs w:val="19"/>
        </w:rPr>
        <w:t xml:space="preserve">Oposição à renovação automática — pelo Senhorio (art. 1097.º) ou pelo Arrendatário (art. 1098.º) do Código Civil</w:t>
      </w:r>
    </w:p>
    <w:p>
      <w:pPr>
        <w:spacing w:after="160"/>
      </w:pP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QUEM ENVIA ESTA CARTA</w:t>
      </w:r>
    </w:p>
    <w:p>
      <w:pPr>
        <w:spacing w:after="90"/>
        <w:ind w:left="200"/>
      </w:pPr>
      <w:r>
        <w:t xml:space="preserve">☐  </w:t>
      </w:r>
      <w:r>
        <w:t xml:space="preserve">O Senhorio (art. 1097.º do Código Civil)</w:t>
      </w:r>
    </w:p>
    <w:p>
      <w:pPr>
        <w:spacing w:after="90"/>
        <w:ind w:left="200"/>
      </w:pPr>
      <w:r>
        <w:t xml:space="preserve">☐  </w:t>
      </w:r>
      <w:r>
        <w:t xml:space="preserve">O Arrendatário (art. 1098.º, n.º 1, do Código Civil)</w:t>
      </w: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REMETENTE</w:t>
      </w:r>
    </w:p>
    <w:p>
      <w:pPr>
        <w:tabs>
          <w:tab w:val="right" w:pos="9746" w:leader="dot"/>
        </w:tabs>
        <w:spacing w:after="160"/>
      </w:pPr>
      <w:r>
        <w:t xml:space="preserve">Nome completo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NIF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Morada completa (art. 9.º, n.º 5, NRAU)</w:t>
      </w:r>
      <w:r>
        <w:t xml:space="preserve">: </w:t>
      </w:r>
      <w:r>
        <w:t xml:space="preserve">	</w:t>
      </w: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DESTINATÁRIO</w:t>
      </w:r>
    </w:p>
    <w:p>
      <w:pPr>
        <w:tabs>
          <w:tab w:val="right" w:pos="9746" w:leader="dot"/>
        </w:tabs>
        <w:spacing w:after="160"/>
      </w:pPr>
      <w:r>
        <w:t xml:space="preserve">Nome completo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Morada de envio</w:t>
      </w:r>
      <w:r>
        <w:t xml:space="preserve">: </w:t>
      </w:r>
      <w:r>
        <w:t xml:space="preserve">	</w:t>
      </w: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CONTRATO E CÁLCULO DA DATA-LIMITE</w:t>
      </w:r>
    </w:p>
    <w:p>
      <w:pPr>
        <w:tabs>
          <w:tab w:val="right" w:pos="9746" w:leader="dot"/>
        </w:tabs>
        <w:spacing w:after="160"/>
      </w:pPr>
      <w:r>
        <w:t xml:space="preserve">Morada do imóvel arrendado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Data de celebração do contrato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Prazo inicial ou da renovação em curso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Termo do prazo em curso (A)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Antecedência mínima aplicável, em dias (B)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Data-limite de receção da carta (A menos B)</w:t>
      </w:r>
      <w:r>
        <w:t xml:space="preserve">: </w:t>
      </w:r>
      <w:r>
        <w:t xml:space="preserve">	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  <w:tblCellMar>
          <w:top w:type="dxa" w:w="60"/>
          <w:left w:type="dxa" w:w="90"/>
          <w:bottom w:type="dxa" w:w="60"/>
          <w:right w:type="dxa" w:w="90"/>
        </w:tblCellMar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44%"/>
            <w:shd w:fill="F3F8F9" w:val="clear"/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PRAZO INICIAL DO CONTRATO OU DA RENOVAÇÃO</w:t>
            </w:r>
          </w:p>
        </w:tc>
        <w:tc>
          <w:tcPr>
            <w:tcW w:type="pct" w:w="28%"/>
            <w:shd w:fill="F3F8F9" w:val="clear"/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SENHORIO (ART. 1097.º, N.º 1)</w:t>
            </w:r>
          </w:p>
        </w:tc>
        <w:tc>
          <w:tcPr>
            <w:tcW w:type="pct" w:w="28%"/>
            <w:shd w:fill="F3F8F9" w:val="clear"/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ARRENDATÁRIO (ART. 1098.º, N.º 1)</w:t>
            </w:r>
          </w:p>
        </w:tc>
      </w:tr>
      <w:tr>
        <w:tc>
          <w:tcPr>
            <w:tcW w:type="pct" w:w="44%"/>
          </w:tcPr>
          <w:p>
            <w:r>
              <w:rPr>
                <w:sz w:val="19"/>
                <w:szCs w:val="19"/>
              </w:rPr>
              <w:t xml:space="preserve">Igual ou superior a 6 anos</w:t>
            </w:r>
          </w:p>
        </w:tc>
        <w:tc>
          <w:tcPr>
            <w:tcW w:type="pct" w:w="28%"/>
          </w:tcPr>
          <w:p>
            <w:r>
              <w:rPr>
                <w:sz w:val="19"/>
                <w:szCs w:val="19"/>
              </w:rPr>
              <w:t xml:space="preserve">240 dias</w:t>
            </w:r>
          </w:p>
        </w:tc>
        <w:tc>
          <w:tcPr>
            <w:tcW w:type="pct" w:w="28%"/>
          </w:tcPr>
          <w:p>
            <w:r>
              <w:rPr>
                <w:sz w:val="19"/>
                <w:szCs w:val="19"/>
              </w:rPr>
              <w:t xml:space="preserve">120 dias</w:t>
            </w:r>
          </w:p>
        </w:tc>
      </w:tr>
      <w:tr>
        <w:tc>
          <w:tcPr>
            <w:tcW w:type="pct" w:w="44%"/>
          </w:tcPr>
          <w:p>
            <w:r>
              <w:rPr>
                <w:sz w:val="19"/>
                <w:szCs w:val="19"/>
              </w:rPr>
              <w:t xml:space="preserve">De 1 ano a menos de 6 anos</w:t>
            </w:r>
          </w:p>
        </w:tc>
        <w:tc>
          <w:tcPr>
            <w:tcW w:type="pct" w:w="28%"/>
          </w:tcPr>
          <w:p>
            <w:r>
              <w:rPr>
                <w:sz w:val="19"/>
                <w:szCs w:val="19"/>
              </w:rPr>
              <w:t xml:space="preserve">120 dias</w:t>
            </w:r>
          </w:p>
        </w:tc>
        <w:tc>
          <w:tcPr>
            <w:tcW w:type="pct" w:w="28%"/>
          </w:tcPr>
          <w:p>
            <w:r>
              <w:rPr>
                <w:sz w:val="19"/>
                <w:szCs w:val="19"/>
              </w:rPr>
              <w:t xml:space="preserve">90 dias</w:t>
            </w:r>
          </w:p>
        </w:tc>
      </w:tr>
      <w:tr>
        <w:tc>
          <w:tcPr>
            <w:tcW w:type="pct" w:w="44%"/>
          </w:tcPr>
          <w:p>
            <w:r>
              <w:rPr>
                <w:sz w:val="19"/>
                <w:szCs w:val="19"/>
              </w:rPr>
              <w:t xml:space="preserve">De 6 meses a menos de 1 ano</w:t>
            </w:r>
          </w:p>
        </w:tc>
        <w:tc>
          <w:tcPr>
            <w:tcW w:type="pct" w:w="28%"/>
          </w:tcPr>
          <w:p>
            <w:r>
              <w:rPr>
                <w:sz w:val="19"/>
                <w:szCs w:val="19"/>
              </w:rPr>
              <w:t xml:space="preserve">60 dias</w:t>
            </w:r>
          </w:p>
        </w:tc>
        <w:tc>
          <w:tcPr>
            <w:tcW w:type="pct" w:w="28%"/>
          </w:tcPr>
          <w:p>
            <w:r>
              <w:rPr>
                <w:sz w:val="19"/>
                <w:szCs w:val="19"/>
              </w:rPr>
              <w:t xml:space="preserve">60 dias</w:t>
            </w:r>
          </w:p>
        </w:tc>
      </w:tr>
      <w:tr>
        <w:tc>
          <w:tcPr>
            <w:tcW w:type="pct" w:w="44%"/>
          </w:tcPr>
          <w:p>
            <w:r>
              <w:rPr>
                <w:sz w:val="19"/>
                <w:szCs w:val="19"/>
              </w:rPr>
              <w:t xml:space="preserve">Inferior a 6 meses</w:t>
            </w:r>
          </w:p>
        </w:tc>
        <w:tc>
          <w:tcPr>
            <w:tcW w:type="pct" w:w="28%"/>
          </w:tcPr>
          <w:p>
            <w:r>
              <w:rPr>
                <w:sz w:val="19"/>
                <w:szCs w:val="19"/>
              </w:rPr>
              <w:t xml:space="preserve">Um terço do prazo</w:t>
            </w:r>
          </w:p>
        </w:tc>
        <w:tc>
          <w:tcPr>
            <w:tcW w:type="pct" w:w="28%"/>
          </w:tcPr>
          <w:p>
            <w:r>
              <w:rPr>
                <w:sz w:val="19"/>
                <w:szCs w:val="19"/>
              </w:rPr>
              <w:t xml:space="preserve">Um terço do prazo</w:t>
            </w:r>
          </w:p>
        </w:tc>
      </w:tr>
    </w:tbl>
    <w:p>
      <w:pPr>
        <w:spacing w:after="60"/>
      </w:pPr>
    </w:p>
    <w:p>
      <w:pPr>
        <w:spacing w:after="140"/>
        <w:jc w:val="both"/>
      </w:pPr>
      <w:r>
        <w:rPr>
          <w:b/>
          <w:bCs/>
        </w:rPr>
        <w:t xml:space="preserve">Assunto:</w:t>
      </w:r>
      <w:r>
        <w:t xml:space="preserve"> Comunicação de não renovação (oposição à renovação automática) do contrato de arrendamento.</w:t>
      </w:r>
    </w:p>
    <w:p>
      <w:pPr>
        <w:spacing w:after="140"/>
        <w:jc w:val="both"/>
      </w:pPr>
      <w:r>
        <w:t xml:space="preserve">Exmo.(a) Senhor(a) [Nome completo do destinatário],</w:t>
      </w:r>
    </w:p>
    <w:p>
      <w:pPr>
        <w:spacing w:after="140"/>
        <w:jc w:val="both"/>
      </w:pPr>
      <w:r>
        <w:t xml:space="preserve">Na qualidade de [Senhorio / Arrendatário] do contrato de arrendamento acima identificado, relativo ao imóvel sito em [morada completa do imóvel], venho comunicar a minha </w:t>
      </w:r>
      <w:r>
        <w:rPr>
          <w:b/>
          <w:bCs/>
        </w:rPr>
        <w:t xml:space="preserve">oposição à renovação automática</w:t>
      </w:r>
      <w:r>
        <w:t xml:space="preserve"> do referido contrato, nos termos do artigo [1097.º / 1098.º, n.º 1] do Código Civil.</w:t>
      </w:r>
    </w:p>
    <w:p>
      <w:pPr>
        <w:spacing w:after="140"/>
        <w:jc w:val="both"/>
      </w:pPr>
      <w:r>
        <w:t xml:space="preserve">Em consequência, o contrato </w:t>
      </w:r>
      <w:r>
        <w:rPr>
          <w:b/>
          <w:bCs/>
        </w:rPr>
        <w:t xml:space="preserve">não se renova</w:t>
      </w:r>
      <w:r>
        <w:t xml:space="preserve"> e cessa no termo do prazo em curso, em [data do termo], sendo a presente comunicação feita com a antecedência mínima legal de [n.º de dias] dias, contada por referência a esse termo (artigos 1097.º, n.º 2, e 1098.º, n.º 2, do Código Civil).</w:t>
      </w:r>
    </w:p>
    <w:p>
      <w:pPr>
        <w:spacing w:after="140"/>
        <w:jc w:val="both"/>
      </w:pPr>
      <w:r>
        <w:t xml:space="preserve">Nessa data, o imóvel deverá ser desocupado e entregue, com todas as chaves, em data e hora a combinar entre as partes, procedendo-se à vistoria de saída e ao acerto de contas, incluindo a caução.</w:t>
      </w:r>
    </w:p>
    <w:p>
      <w:pPr>
        <w:spacing w:after="140"/>
        <w:jc w:val="both"/>
      </w:pPr>
      <w:r>
        <w:t xml:space="preserve">Com os melhores cumprimentos,</w:t>
      </w:r>
    </w:p>
    <w:p>
      <w:pPr>
        <w:spacing w:after="200" w:before="300"/>
      </w:pPr>
      <w:r>
        <w:t xml:space="preserve">Feito em _____________________, aos ____ de ______________ de 20____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200"/>
          <w:bottom w:type="dxa" w:w="0"/>
          <w:right w:type="dxa" w:w="200"/>
        </w:tblCellMar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700"/>
            </w:pPr>
          </w:p>
          <w:p>
            <w:pPr>
              <w:pBdr>
                <w:top w:val="single" w:color="000000" w:sz="6" w:space="4"/>
              </w:pBdr>
              <w:jc w:val="center"/>
            </w:pPr>
            <w:r>
              <w:rPr>
                <w:sz w:val="19"/>
                <w:szCs w:val="19"/>
              </w:rPr>
              <w:t xml:space="preserve">O Remetente</w:t>
            </w:r>
          </w:p>
          <w:p>
            <w:pPr>
              <w:jc w:val="center"/>
            </w:pPr>
            <w:r>
              <w:rPr>
                <w:color w:val="555555"/>
                <w:sz w:val="16"/>
                <w:szCs w:val="16"/>
              </w:rPr>
              <w:t xml:space="preserve">(assinatura do declarante — art. 9.º, n.º 1, NRAU)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700"/>
            </w:pPr>
          </w:p>
          <w:p>
            <w:pPr>
              <w:pBdr>
                <w:top w:val="single" w:color="000000" w:sz="6" w:space="4"/>
              </w:pBdr>
              <w:jc w:val="center"/>
            </w:pPr>
            <w:r>
              <w:rPr>
                <w:sz w:val="19"/>
                <w:szCs w:val="19"/>
              </w:rPr>
              <w:t xml:space="preserve">Recebi o original — o Destinatário</w:t>
            </w:r>
          </w:p>
          <w:p>
            <w:pPr>
              <w:jc w:val="center"/>
            </w:pPr>
            <w:r>
              <w:rPr>
                <w:color w:val="555555"/>
                <w:sz w:val="16"/>
                <w:szCs w:val="16"/>
              </w:rPr>
              <w:t xml:space="preserve">(só em caso de entrega em mão, na cópia — art. 9.º, n.º 6, NRAU)</w:t>
            </w:r>
          </w:p>
        </w:tc>
      </w:tr>
    </w:tbl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ANTES DE ENVIAR</w:t>
      </w:r>
    </w:p>
    <w:p>
      <w:pPr>
        <w:spacing w:after="140"/>
        <w:jc w:val="both"/>
      </w:pPr>
      <w:r>
        <w:rPr>
          <w:b/>
          <w:bCs/>
          <w:i/>
          <w:iCs/>
          <w:color w:val="444444"/>
          <w:sz w:val="18"/>
          <w:szCs w:val="18"/>
        </w:rPr>
        <w:t xml:space="preserve">1. Forma de envio.</w:t>
      </w:r>
      <w:r>
        <w:rPr>
          <w:i/>
          <w:iCs/>
          <w:color w:val="444444"/>
          <w:sz w:val="18"/>
          <w:szCs w:val="18"/>
        </w:rPr>
        <w:t xml:space="preserve"> Escrito assinado e remetido por carta registada com aviso de receção (art. 9.º, n.º 1, NRAU), ou entregue em mão, com assinatura do destinatário na cópia e nota de receção (n.º 6). Cartas ao Arrendatário vão para o locado, salvo indicação escrita em contrário; cartas ao Senhorio vão para o endereço do contrato ou da última comunicação (n.os 2 e 3). Se a carta for devolvida nas situações do art. 10.º, n.º 2, NRAU, envie nova carta registada com aviso de receção 30 a 60 dias após a primeira (art. 10.º, n.º 3).</w:t>
      </w:r>
    </w:p>
    <w:p>
      <w:pPr>
        <w:spacing w:after="140"/>
        <w:jc w:val="both"/>
      </w:pPr>
      <w:r>
        <w:rPr>
          <w:b/>
          <w:bCs/>
          <w:i/>
          <w:iCs/>
          <w:color w:val="444444"/>
          <w:sz w:val="18"/>
          <w:szCs w:val="18"/>
        </w:rPr>
        <w:t xml:space="preserve">2. Senhorio — primeira renovação.</w:t>
      </w:r>
      <w:r>
        <w:rPr>
          <w:i/>
          <w:iCs/>
          <w:color w:val="444444"/>
          <w:sz w:val="18"/>
          <w:szCs w:val="18"/>
        </w:rPr>
        <w:t xml:space="preserve"> A oposição do Senhorio à primeira renovação só produz efeitos decorridos três anos da celebração do contrato, mantendo-se este em vigor até essa data, salvo necessidade de habitação pelo próprio ou pelos seus descendentes em 1.º grau (art. 1097.º, n.os 3 e 4).</w:t>
      </w:r>
    </w:p>
    <w:p>
      <w:pPr>
        <w:spacing w:after="140"/>
        <w:jc w:val="both"/>
      </w:pPr>
      <w:r>
        <w:rPr>
          <w:b/>
          <w:bCs/>
          <w:i/>
          <w:iCs/>
          <w:color w:val="444444"/>
          <w:sz w:val="18"/>
          <w:szCs w:val="18"/>
        </w:rPr>
        <w:t xml:space="preserve">3. Arrendatário — atraso no aviso.</w:t>
      </w:r>
      <w:r>
        <w:rPr>
          <w:i/>
          <w:iCs/>
          <w:color w:val="444444"/>
          <w:sz w:val="18"/>
          <w:szCs w:val="18"/>
        </w:rPr>
        <w:t xml:space="preserve"> A falta da antecedência legal não impede a cessação do contrato, mas obriga ao pagamento das rendas correspondentes ao período de pré-aviso em falta, salvo desemprego involuntário, incapacidade permanente para o trabalho ou morte do arrendatário ou de pessoa que com ele viva em economia comum há mais de um ano (art. 1098.º, n.º 6). Para sair antes do termo, o Arrendatário usa a denúncia (art. 1098.º, n.os 3 a 5), não esta carta.</w:t>
      </w:r>
    </w:p>
    <w:p>
      <w:pPr>
        <w:spacing w:after="140"/>
        <w:jc w:val="both"/>
      </w:pPr>
      <w:r>
        <w:rPr>
          <w:b/>
          <w:bCs/>
          <w:i/>
          <w:iCs/>
          <w:color w:val="444444"/>
          <w:sz w:val="18"/>
          <w:szCs w:val="18"/>
        </w:rPr>
        <w:t xml:space="preserve">4. Não serve para outros fins.</w:t>
      </w:r>
      <w:r>
        <w:rPr>
          <w:i/>
          <w:iCs/>
          <w:color w:val="444444"/>
          <w:sz w:val="18"/>
          <w:szCs w:val="18"/>
        </w:rPr>
        <w:t xml:space="preserve"> Esta carta só impede a renovação no termo do prazo. Não se aplica a contratos sem renovação automática (art. 1096.º) nem serve para resolver o contrato por incumprimento, que segue forma e fundamentos próprios.</w:t>
      </w:r>
    </w:p>
    <w:p>
      <w:pPr>
        <w:spacing w:before="240"/>
      </w:pPr>
    </w:p>
    <w:tbl>
      <w:tblPr>
        <w:tblW w:type="pct" w:w="100%"/>
        <w:tblBorders>
          <w:top w:val="single" w:color="B8C7C7" w:sz="6"/>
          <w:left w:val="single" w:color="B8C7C7" w:sz="6"/>
          <w:bottom w:val="single" w:color="B8C7C7" w:sz="6"/>
          <w:right w:val="single" w:color="B8C7C7" w:sz="6"/>
          <w:insideH w:val="none" w:color="FFFFFF" w:sz="0"/>
          <w:insideV w:val="none" w:color="FFFFFF" w:sz="0"/>
        </w:tblBorders>
        <w:tblCellMar>
          <w:top w:type="dxa" w:w="140"/>
          <w:left w:type="dxa" w:w="200"/>
          <w:bottom w:type="dxa" w:w="140"/>
          <w:right w:type="dxa" w:w="200"/>
        </w:tblCellMar>
      </w:tblPr>
      <w:tblGrid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FAFA" w:val="clear"/>
          </w:tcPr>
          <w:tbl>
            <w:tblPr>
              <w:tblW w:type="pct" w:w="100%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100"/>
            </w:tblGrid>
            <w:t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8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00504F"/>
                      <w:sz w:val="20"/>
                      <w:szCs w:val="20"/>
                    </w:rPr>
                    <w:t xml:space="preserve">Gira os seus arrendamentos gratuitamente na app Aluseg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Receba o alerta da data-limite de não renovação de cada contrato, para o Senhorio e para o Arrendatário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Conta gratuita — imóveis, inquilinos, contratos e documentos num só lugar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Comunicação do contrato à AT e recibos de renda eletrónicos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Atualização anual da renda calculada automaticamente (coeficiente INE)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Verificação de solvência de candidatos e avisos de prazos legais</w:t>
                  </w:r>
                </w:p>
                <w:p>
                  <w:pPr>
                    <w:spacing w:after="40" w:before="8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Crie a sua conta gratuita em </w:t>
                  </w:r>
                  <w:hyperlink w:history="1" r:id="rId-a1emel8ved5gely0qwsz">
                    <w:r>
                      <w:rPr>
                        <w:rFonts w:ascii="Arial" w:cs="Arial" w:eastAsia="Arial" w:hAnsi="Arial"/>
                        <w:b/>
                        <w:bCs/>
                        <w:color w:val="005869"/>
                        <w:sz w:val="17"/>
                        <w:szCs w:val="17"/>
                      </w:rPr>
                      <w:t xml:space="preserve">app.aluseg.com</w:t>
                    </w:r>
                  </w:hyperlink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 — Sem cartão de crédito · Menos de 2 minutos</w:t>
                  </w:r>
                </w:p>
              </w:tc>
            </w:tr>
          </w:tbl>
          <w:p>
            <w:pPr>
              <w:spacing w:before="60"/>
            </w:pPr>
            <w:r>
              <w:rPr>
                <w:rFonts w:ascii="Arial" w:cs="Arial" w:eastAsia="Arial" w:hAnsi="Arial"/>
                <w:i/>
                <w:iCs/>
                <w:color w:val="777777"/>
                <w:sz w:val="15"/>
                <w:szCs w:val="15"/>
              </w:rPr>
              <w:t xml:space="preserve">Bloco informativo — não integra o documento.</w:t>
            </w:r>
          </w:p>
        </w:tc>
      </w:tr>
    </w:tbl>
    <w:p>
      <w:pPr>
        <w:pBdr>
          <w:top w:val="single" w:color="CCCCCC" w:sz="4" w:space="4"/>
        </w:pBdr>
        <w:spacing w:before="240"/>
      </w:pPr>
      <w:r>
        <w:rPr>
          <w:rFonts w:ascii="Arial" w:cs="Arial" w:eastAsia="Arial" w:hAnsi="Arial"/>
          <w:color w:val="666666"/>
          <w:sz w:val="15"/>
          <w:szCs w:val="15"/>
        </w:rPr>
        <w:t xml:space="preserve">Gerado com Aluseg.com — modelo informativo gerado automaticamente; não dispensa aconselhamento jurídico profissional. Reveja todos os campos antes de assinar ou enviar. Referências legais: Art. 1096.º do Código Civil (renovação automática); Art. 1097.º do Código Civil (oposição à renovação pelo senhorio); Art. 1098.º do Código Civil (oposição à renovação e denúncia pelo arrendatário); Art. 9.º da Lei n.º 6/2006 (NRAU) (forma das comunicações); Art. 10.º da Lei n.º 6/2006 (NRAU) (carta devolvida).</w:t>
      </w:r>
    </w:p>
    <w:sectPr>
      <w:headerReference w:type="default" r:id="rId7"/>
      <w:footerReference w:type="default" r:id="rId8"/>
      <w:pgSz w:w="11906" w:h="16838" w:orient="portrait"/>
      <w:pgMar w:top="1000" w:right="1080" w:bottom="11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4"/>
        <w:szCs w:val="14"/>
      </w:rPr>
      <w:t xml:space="preserve">Gerado com Aluseg.com — modelos gratuitos para senhorios · app.aluseg.com · </w:t>
    </w:r>
    <w:r>
      <w:rPr>
        <w:rFonts w:ascii="Arial" w:cs="Arial" w:eastAsia="Arial" w:hAnsi="Arial"/>
        <w:color w:val="88888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88888"/>
        <w:sz w:val="14"/>
        <w:szCs w:val="14"/>
      </w:rPr>
      <w:t xml:space="preserve">/</w:t>
    </w:r>
    <w:r>
      <w:rPr>
        <w:rFonts w:ascii="Arial" w:cs="Arial" w:eastAsia="Arial" w:hAnsi="Arial"/>
        <w:color w:val="888888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5869" w:sz="12" w:space="6"/>
      </w:pBdr>
      <w:tabs>
        <w:tab w:val="right" w:pos="9746"/>
      </w:tabs>
    </w:pPr>
    <w:r>
      <w:drawing>
        <wp:inline distT="0" distB="0" distL="0" distR="0">
          <wp:extent cx="1123950" cy="4191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B6770"/>
        <w:sz w:val="14"/>
        <w:szCs w:val="14"/>
      </w:rPr>
      <w:t xml:space="preserve">	Modelos gratuitos para senhorios · aluseg.com/documentos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-a1emel8ved5gely0qwsz" Type="http://schemas.openxmlformats.org/officeDocument/2006/relationships/hyperlink" Target="https://app.aluseg.com/login?mode=signup&amp;utm_source=documento&amp;utm_medium=docx&amp;utm_campaign=carta-nao-renovacao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dbdbe0c4b8568ee3ca6a749cbb83f546f43ead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2026-10-12T09:19:46.527Z</dcterms:created>
  <dcterms:modified xsi:type="dcterms:W3CDTF">2026-10-12T09:19:46.527Z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