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28"/>
          <w:szCs w:val="28"/>
        </w:rPr>
        <w:t xml:space="preserve">CARTA DE OPOSIÇÃO À RENOVAÇÃO DO CONTRATO DE ARRENDAMENTO</w:t>
      </w:r>
    </w:p>
    <w:p>
      <w:pPr>
        <w:spacing w:after="60"/>
        <w:jc w:val="center"/>
      </w:pPr>
      <w:r>
        <w:rPr>
          <w:color w:val="333333"/>
          <w:sz w:val="19"/>
          <w:szCs w:val="19"/>
        </w:rPr>
        <w:t xml:space="preserve">Comunicação do Senhorio ao Arrendatário — artigo 1097.º do Código Civil</w:t>
      </w:r>
    </w:p>
    <w:p>
      <w:pPr>
        <w:spacing w:after="160"/>
      </w:pP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REMETENTE — O SENHORIO</w:t>
      </w:r>
    </w:p>
    <w:p>
      <w:pPr>
        <w:tabs>
          <w:tab w:val="right" w:pos="9746" w:leader="dot"/>
        </w:tabs>
        <w:spacing w:after="160"/>
      </w:pPr>
      <w:r>
        <w:t xml:space="preserve">Nome completo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NIF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Morada para correspondência</w:t>
      </w:r>
      <w:r>
        <w:t xml:space="preserve">: </w:t>
      </w:r>
      <w:r>
        <w:t xml:space="preserve">	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DESTINATÁRIO — O ARRENDATÁRIO</w:t>
      </w:r>
    </w:p>
    <w:p>
      <w:pPr>
        <w:tabs>
          <w:tab w:val="right" w:pos="9746" w:leader="dot"/>
        </w:tabs>
        <w:spacing w:after="160"/>
      </w:pPr>
      <w:r>
        <w:t xml:space="preserve">Nome completo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Morada de envio</w:t>
      </w:r>
      <w:r>
        <w:t xml:space="preserve">: </w:t>
      </w:r>
      <w:r>
        <w:t xml:space="preserve">	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CONTRATO DE ARRENDAMENTO</w:t>
      </w:r>
    </w:p>
    <w:p>
      <w:pPr>
        <w:tabs>
          <w:tab w:val="right" w:pos="9746" w:leader="dot"/>
        </w:tabs>
        <w:spacing w:after="160"/>
      </w:pPr>
      <w:r>
        <w:t xml:space="preserve">Morada do imóvel arrendado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Fração, andar e código postal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Data de celebração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Referência do contrato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Prazo (duração) do contrato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Data do termo em curso</w:t>
      </w:r>
      <w:r>
        <w:t xml:space="preserve">: </w:t>
      </w:r>
      <w:r>
        <w:t xml:space="preserve">	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LOCAL, DATA E ASSUNTO</w:t>
      </w:r>
    </w:p>
    <w:p>
      <w:pPr>
        <w:tabs>
          <w:tab w:val="right" w:pos="9746" w:leader="dot"/>
        </w:tabs>
        <w:spacing w:after="160"/>
      </w:pPr>
      <w:r>
        <w:t xml:space="preserve">Local e data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Forma de envio</w:t>
      </w:r>
      <w:r>
        <w:t xml:space="preserve">: </w:t>
      </w:r>
      <w:r>
        <w:rPr>
          <w:b/>
          <w:bCs/>
        </w:rPr>
        <w:t xml:space="preserve"> Carta registada com aviso de receção </w:t>
      </w:r>
      <w:r>
        <w:t xml:space="preserve">	</w:t>
      </w:r>
    </w:p>
    <w:p>
      <w:pPr>
        <w:spacing w:after="140"/>
        <w:jc w:val="both"/>
      </w:pPr>
      <w:r>
        <w:rPr>
          <w:b/>
          <w:bCs/>
        </w:rPr>
        <w:t xml:space="preserve">Assunto:</w:t>
      </w:r>
      <w:r>
        <w:t xml:space="preserve"> Oposição à renovação do contrato de arrendamento — artigo 1097.º do Código Civil.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COMUNICAÇÃO</w:t>
      </w:r>
    </w:p>
    <w:p>
      <w:pPr>
        <w:spacing w:after="140"/>
        <w:jc w:val="both"/>
      </w:pPr>
      <w:r>
        <w:t xml:space="preserve">Exmo.(a) Senhor(a) [Nome completo do arrendatário],</w:t>
      </w:r>
    </w:p>
    <w:p>
      <w:pPr>
        <w:spacing w:after="140"/>
        <w:jc w:val="both"/>
      </w:pPr>
      <w:r>
        <w:t xml:space="preserve">Nos termos do artigo 1097.º do Código Civil, o Senhorio vem, por este meio, comunicar ao Arrendatário a sua </w:t>
      </w:r>
      <w:r>
        <w:rPr>
          <w:b/>
          <w:bCs/>
        </w:rPr>
        <w:t xml:space="preserve">oposição à renovação</w:t>
      </w:r>
      <w:r>
        <w:t xml:space="preserve"> do contrato de arrendamento acima identificado, relativo ao imóvel sito em [morada completa do imóvel arrendado].</w:t>
      </w:r>
    </w:p>
    <w:p>
      <w:pPr>
        <w:spacing w:after="140"/>
        <w:jc w:val="both"/>
      </w:pPr>
      <w:r>
        <w:t xml:space="preserve">Em consequência, o contrato </w:t>
      </w:r>
      <w:r>
        <w:rPr>
          <w:b/>
          <w:bCs/>
        </w:rPr>
        <w:t xml:space="preserve">não se renova</w:t>
      </w:r>
      <w:r>
        <w:t xml:space="preserve"> e cessa os seus efeitos em [data de cessação], data em que termina o prazo em curso.</w:t>
      </w:r>
    </w:p>
    <w:p>
      <w:pPr>
        <w:spacing w:after="140"/>
        <w:jc w:val="both"/>
      </w:pPr>
      <w:r>
        <w:t xml:space="preserve">A presente comunicação é efetuada com a antecedência mínima legal de [n.º de dias] dias sobre o termo do contrato, de acordo com o quadro seguinte, que reproduz os prazos fixados no n.º 1 do artigo 1097.º do Código Civil.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4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PRAZO (DURAÇÃO) DO CONTRATO</w:t>
            </w:r>
          </w:p>
        </w:tc>
        <w:tc>
          <w:tcPr>
            <w:tcW w:type="pct" w:w="30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ANTECEDÊNCIA MÍNIMA</w:t>
            </w:r>
          </w:p>
        </w:tc>
        <w:tc>
          <w:tcPr>
            <w:tcW w:type="pct" w:w="2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ART. 1097.º, N.º 1</w:t>
            </w:r>
          </w:p>
        </w:tc>
      </w:tr>
      <w:tr>
        <w:tc>
          <w:tcPr>
            <w:tcW w:type="pct" w:w="46%"/>
          </w:tcPr>
          <w:p>
            <w:r>
              <w:rPr>
                <w:sz w:val="19"/>
                <w:szCs w:val="19"/>
              </w:rPr>
              <w:t xml:space="preserve">Igual ou superior a 6 anos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240 dias</w:t>
            </w:r>
          </w:p>
        </w:tc>
        <w:tc>
          <w:tcPr>
            <w:tcW w:type="pct" w:w="24%"/>
          </w:tcPr>
          <w:p>
            <w:r>
              <w:rPr>
                <w:sz w:val="19"/>
                <w:szCs w:val="19"/>
              </w:rPr>
              <w:t xml:space="preserve">Alínea a)</w:t>
            </w:r>
          </w:p>
        </w:tc>
      </w:tr>
      <w:tr>
        <w:tc>
          <w:tcPr>
            <w:tcW w:type="pct" w:w="46%"/>
          </w:tcPr>
          <w:p>
            <w:r>
              <w:rPr>
                <w:sz w:val="19"/>
                <w:szCs w:val="19"/>
              </w:rPr>
              <w:t xml:space="preserve">Igual ou superior a 1 ano e inferior a 6 anos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120 dias</w:t>
            </w:r>
          </w:p>
        </w:tc>
        <w:tc>
          <w:tcPr>
            <w:tcW w:type="pct" w:w="24%"/>
          </w:tcPr>
          <w:p>
            <w:r>
              <w:rPr>
                <w:sz w:val="19"/>
                <w:szCs w:val="19"/>
              </w:rPr>
              <w:t xml:space="preserve">Alínea b)</w:t>
            </w:r>
          </w:p>
        </w:tc>
      </w:tr>
      <w:tr>
        <w:tc>
          <w:tcPr>
            <w:tcW w:type="pct" w:w="46%"/>
          </w:tcPr>
          <w:p>
            <w:r>
              <w:rPr>
                <w:sz w:val="19"/>
                <w:szCs w:val="19"/>
              </w:rPr>
              <w:t xml:space="preserve">Igual ou superior a 6 meses e inferior a 1 ano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60 dias</w:t>
            </w:r>
          </w:p>
        </w:tc>
        <w:tc>
          <w:tcPr>
            <w:tcW w:type="pct" w:w="24%"/>
          </w:tcPr>
          <w:p>
            <w:r>
              <w:rPr>
                <w:sz w:val="19"/>
                <w:szCs w:val="19"/>
              </w:rPr>
              <w:t xml:space="preserve">Alínea c)</w:t>
            </w:r>
          </w:p>
        </w:tc>
      </w:tr>
      <w:tr>
        <w:tc>
          <w:tcPr>
            <w:tcW w:type="pct" w:w="46%"/>
          </w:tcPr>
          <w:p>
            <w:r>
              <w:rPr>
                <w:sz w:val="19"/>
                <w:szCs w:val="19"/>
              </w:rPr>
              <w:t xml:space="preserve">Inferior a 6 meses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Um terço da duração do contrato</w:t>
            </w:r>
          </w:p>
        </w:tc>
        <w:tc>
          <w:tcPr>
            <w:tcW w:type="pct" w:w="24%"/>
          </w:tcPr>
          <w:p>
            <w:r>
              <w:rPr>
                <w:sz w:val="19"/>
                <w:szCs w:val="19"/>
              </w:rPr>
              <w:t xml:space="preserve">Alínea d)</w:t>
            </w:r>
          </w:p>
        </w:tc>
      </w:tr>
    </w:tbl>
    <w:p>
      <w:pPr>
        <w:spacing w:after="60"/>
      </w:pPr>
    </w:p>
    <w:p>
      <w:pPr>
        <w:spacing w:after="140"/>
        <w:jc w:val="both"/>
      </w:pPr>
      <w:r>
        <w:rPr>
          <w:b/>
          <w:bCs/>
          <w:i/>
          <w:iCs/>
          <w:color w:val="444444"/>
          <w:sz w:val="18"/>
          <w:szCs w:val="18"/>
        </w:rPr>
        <w:t xml:space="preserve">Primeira renovação:</w:t>
      </w:r>
      <w:r>
        <w:rPr>
          <w:i/>
          <w:iCs/>
          <w:color w:val="444444"/>
          <w:sz w:val="18"/>
          <w:szCs w:val="18"/>
        </w:rPr>
        <w:t xml:space="preserve"> a oposição do Senhorio à </w:t>
      </w:r>
      <w:r>
        <w:rPr>
          <w:b/>
          <w:bCs/>
          <w:i/>
          <w:iCs/>
          <w:color w:val="444444"/>
          <w:sz w:val="18"/>
          <w:szCs w:val="18"/>
        </w:rPr>
        <w:t xml:space="preserve">primeira</w:t>
      </w:r>
      <w:r>
        <w:rPr>
          <w:i/>
          <w:iCs/>
          <w:color w:val="444444"/>
          <w:sz w:val="18"/>
          <w:szCs w:val="18"/>
        </w:rPr>
        <w:t xml:space="preserve"> renovação só produz efeitos decorridos três anos da celebração do contrato, mantendo-se este em vigor até essa data (artigo 1097.º, n.º 3, do Código Civil). Excetua-se a necessidade de habitação pelo próprio Senhorio ou pelos seus descendentes em 1.º grau, caso em que se aplica, com as devidas adaptações, o regime da denúncia para habitação (artigo 1097.º, n.º 4). Confirme este ponto antes de enviar a carta.</w:t>
      </w:r>
    </w:p>
    <w:p>
      <w:pPr>
        <w:spacing w:after="140"/>
        <w:jc w:val="both"/>
      </w:pPr>
      <w:r>
        <w:t xml:space="preserve">Fica o Arrendatário notificado de que deve </w:t>
      </w:r>
      <w:r>
        <w:rPr>
          <w:b/>
          <w:bCs/>
        </w:rPr>
        <w:t xml:space="preserve">desocupar e entregar o imóvel livre de pessoas e bens</w:t>
      </w:r>
      <w:r>
        <w:t xml:space="preserve"> na data da cessação, com as reparações que lhe incumbam, nos termos do artigo 1081.º do Código Civil, procedendo à </w:t>
      </w:r>
      <w:r>
        <w:rPr>
          <w:b/>
          <w:bCs/>
        </w:rPr>
        <w:t xml:space="preserve">entrega de todas as chaves</w:t>
      </w:r>
      <w:r>
        <w:t xml:space="preserve">, incluindo duplicados, comandos, cartões de acesso e demais dispositivos na sua posse.</w:t>
      </w:r>
    </w:p>
    <w:p>
      <w:pPr>
        <w:spacing w:after="140"/>
        <w:jc w:val="both"/>
      </w:pPr>
      <w:r>
        <w:t xml:space="preserve">Para o efeito, propõe-se a realização da </w:t>
      </w:r>
      <w:r>
        <w:rPr>
          <w:b/>
          <w:bCs/>
        </w:rPr>
        <w:t xml:space="preserve">vistoria de saída</w:t>
      </w:r>
      <w:r>
        <w:t xml:space="preserve"> no dia [data] pelas [hora], no imóvel, com registo do estado de conservação e das leituras dos contadores de água, eletricidade e gás. Não sendo conveniente, agradece-se que indique data alternativa até três dias antes da cessação.</w:t>
      </w:r>
    </w:p>
    <w:p>
      <w:pPr>
        <w:spacing w:after="140"/>
        <w:jc w:val="both"/>
      </w:pPr>
      <w:r>
        <w:t xml:space="preserve">O Senhorio fica ao dispor para combinar a entrega do imóvel e o acerto de contas devido, designadamente quanto à caução prestada e a consumos ainda não faturados.</w:t>
      </w:r>
    </w:p>
    <w:p>
      <w:pPr>
        <w:spacing w:after="140"/>
        <w:jc w:val="both"/>
      </w:pPr>
      <w:r>
        <w:t xml:space="preserve">Com os melhores cumprimentos,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CellMar>
          <w:top w:type="dxa" w:w="0"/>
          <w:left w:type="dxa" w:w="200"/>
          <w:bottom w:type="dxa" w:w="0"/>
          <w:right w:type="dxa" w:w="200"/>
        </w:tblCellMar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Senhorio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(assinatura do declarante — art. 9.º, n.º 1, do NRAU)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Recebi o duplicado — o Arrendatário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(opcional; não substitui a carta registada com aviso de receção)</w:t>
            </w:r>
          </w:p>
        </w:tc>
      </w:tr>
    </w:tbl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AVISOS IMPORTANTES</w:t>
      </w:r>
    </w:p>
    <w:p>
      <w:pPr>
        <w:spacing w:after="140"/>
        <w:jc w:val="both"/>
      </w:pPr>
      <w:r>
        <w:rPr>
          <w:b/>
          <w:bCs/>
          <w:i/>
          <w:iCs/>
          <w:color w:val="444444"/>
          <w:sz w:val="18"/>
          <w:szCs w:val="18"/>
        </w:rPr>
        <w:t xml:space="preserve">1. Envie por carta registada com aviso de receção.</w:t>
      </w:r>
      <w:r>
        <w:rPr>
          <w:i/>
          <w:iCs/>
          <w:color w:val="444444"/>
          <w:sz w:val="18"/>
          <w:szCs w:val="18"/>
        </w:rPr>
        <w:t xml:space="preserve"> O artigo 9.º, n.º 1, do NRAU exige escrito assinado pelo declarante, remetido por carta registada com aviso de receção; na falta de indicação escrita do Arrendatário em contrário, a carta é dirigida ao local arrendado (n.º 2). Guarde o talão de registo, o aviso de receção e uma cópia integral da carta: é esse o comprovativo exigido para demonstrar a cessação do contrato.</w:t>
      </w:r>
    </w:p>
    <w:p>
      <w:pPr>
        <w:spacing w:after="140"/>
        <w:jc w:val="both"/>
      </w:pPr>
      <w:r>
        <w:rPr>
          <w:b/>
          <w:bCs/>
          <w:i/>
          <w:iCs/>
          <w:color w:val="444444"/>
          <w:sz w:val="18"/>
          <w:szCs w:val="18"/>
        </w:rPr>
        <w:t xml:space="preserve">2. Se a carta for devolvida.</w:t>
      </w:r>
      <w:r>
        <w:rPr>
          <w:i/>
          <w:iCs/>
          <w:color w:val="444444"/>
          <w:sz w:val="18"/>
          <w:szCs w:val="18"/>
        </w:rPr>
        <w:t xml:space="preserve"> O artigo 10.º do NRAU obriga o remetente a enviar </w:t>
      </w:r>
      <w:r>
        <w:rPr>
          <w:b/>
          <w:bCs/>
          <w:i/>
          <w:iCs/>
          <w:color w:val="444444"/>
          <w:sz w:val="18"/>
          <w:szCs w:val="18"/>
        </w:rPr>
        <w:t xml:space="preserve">nova carta registada com aviso de receção decorridos 30 a 60 dias</w:t>
      </w:r>
      <w:r>
        <w:rPr>
          <w:i/>
          <w:iCs/>
          <w:color w:val="444444"/>
          <w:sz w:val="18"/>
          <w:szCs w:val="18"/>
        </w:rPr>
        <w:t xml:space="preserve"> sobre a data de envio da primeira. Se a segunda carta voltar a ser devolvida, a comunicação considera-se recebida no 10.º dia posterior ao seu envio. Enviar a segunda carta antes dos 30 dias ou depois dos 60 impede a formação dessa presunção de receção.</w:t>
      </w:r>
    </w:p>
    <w:p>
      <w:pPr>
        <w:spacing w:after="140"/>
        <w:jc w:val="both"/>
      </w:pPr>
      <w:r>
        <w:rPr>
          <w:b/>
          <w:bCs/>
          <w:i/>
          <w:iCs/>
          <w:color w:val="444444"/>
          <w:sz w:val="18"/>
          <w:szCs w:val="18"/>
        </w:rPr>
        <w:t xml:space="preserve">3. Esta carta não serve para a resolução do contrato por incumprimento.</w:t>
      </w:r>
      <w:r>
        <w:rPr>
          <w:i/>
          <w:iCs/>
          <w:color w:val="444444"/>
          <w:sz w:val="18"/>
          <w:szCs w:val="18"/>
        </w:rPr>
        <w:t xml:space="preserve"> Rendas em atraso, danos no imóvel, ruído ou uso indevido do locado seguem procedimento distinto — a </w:t>
      </w:r>
      <w:r>
        <w:rPr>
          <w:b/>
          <w:bCs/>
          <w:i/>
          <w:iCs/>
          <w:color w:val="444444"/>
          <w:sz w:val="18"/>
          <w:szCs w:val="18"/>
        </w:rPr>
        <w:t xml:space="preserve">resolução</w:t>
      </w:r>
      <w:r>
        <w:rPr>
          <w:i/>
          <w:iCs/>
          <w:color w:val="444444"/>
          <w:sz w:val="18"/>
          <w:szCs w:val="18"/>
        </w:rPr>
        <w:t xml:space="preserve">, fundada no artigo 1083.º do Código Civil — com forma de comunicação própria e mais exigente: o artigo 9.º, n.º 7, do NRAU impõe notificação avulsa, contacto pessoal de advogado, solicitador ou agente de execução, ou carta registada com aviso de receção apenas quando o contrato escrito tenha domicílio convencionado. Vários fundamentos de resolução só operam, ainda, por decisão judicial. Usar esta carta para resolver o contrato por incumprimento torna a comunicação ineficaz.</w:t>
      </w:r>
    </w:p>
    <w:p>
      <w:pPr>
        <w:spacing w:before="240"/>
      </w:pPr>
    </w:p>
    <w:tbl>
      <w:tblPr>
        <w:tblW w:type="pct" w:w="100%"/>
        <w:tblBorders>
          <w:top w:val="single" w:color="B8C7C7" w:sz="6"/>
          <w:left w:val="single" w:color="B8C7C7" w:sz="6"/>
          <w:bottom w:val="single" w:color="B8C7C7" w:sz="6"/>
          <w:right w:val="single" w:color="B8C7C7" w:sz="6"/>
          <w:insideH w:val="none" w:color="FFFFFF" w:sz="0"/>
          <w:insideV w:val="none" w:color="FFFFFF" w:sz="0"/>
        </w:tblBorders>
        <w:tblCellMar>
          <w:top w:type="dxa" w:w="140"/>
          <w:left w:type="dxa" w:w="200"/>
          <w:bottom w:type="dxa" w:w="140"/>
          <w:right w:type="dxa" w:w="200"/>
        </w:tblCellMar>
      </w:tblPr>
      <w:tblGrid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6FAFA" w:val="clear"/>
          </w:tcPr>
          <w:tbl>
            <w:tblPr>
              <w:tblW w:type="pct" w:w="10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0504F"/>
                      <w:sz w:val="20"/>
                      <w:szCs w:val="20"/>
                    </w:rPr>
                    <w:t xml:space="preserve">Gira os seus arrendamentos gratuitamente na app Aluseg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Seja avisado do prazo de oposição à renovação de cada contrato antes de ele expirar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Conta gratuita — imóveis, inquilinos, contratos e documentos num só lugar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Comunicação do contrato à AT e recibos de renda eletrónicos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Atualização anual da renda calculada automaticamente (coeficiente INE)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Verificação de solvência de candidatos e avisos de prazos legais</w:t>
                  </w:r>
                </w:p>
                <w:p>
                  <w:pPr>
                    <w:spacing w:after="40" w:before="8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Crie a sua conta gratuita em </w:t>
                  </w:r>
                  <w:hyperlink w:history="1" r:id="rId_b3rogtgaqrrrbynobtnt">
                    <w:r>
                      <w:rPr>
                        <w:rFonts w:ascii="Arial" w:cs="Arial" w:eastAsia="Arial" w:hAnsi="Arial"/>
                        <w:b/>
                        <w:bCs/>
                        <w:color w:val="005869"/>
                        <w:sz w:val="17"/>
                        <w:szCs w:val="17"/>
                      </w:rPr>
                      <w:t xml:space="preserve">app.aluseg.com</w:t>
                    </w:r>
                  </w:hyperlink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 — Sem cartão de crédito · Menos de 2 minutos</w:t>
                  </w:r>
                </w:p>
              </w:tc>
            </w:tr>
          </w:tbl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777777"/>
                <w:sz w:val="15"/>
                <w:szCs w:val="15"/>
              </w:rPr>
              <w:t xml:space="preserve">Bloco informativo — não integra o documento.</w:t>
            </w:r>
          </w:p>
        </w:tc>
      </w:tr>
    </w:tbl>
    <w:p>
      <w:pPr>
        <w:pBdr>
          <w:top w:val="single" w:color="CCCCCC" w:sz="4" w:space="4"/>
        </w:pBdr>
        <w:spacing w:before="2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Gerado com Aluseg.com — modelo informativo gerado automaticamente; não dispensa aconselhamento jurídico profissional. Reveja todos os campos antes de assinar ou enviar. Referências legais: Art. 1097.º do Código Civil; Art. 1081.º do Código Civil; Art. 1083.º do Código Civil; Art. 9.º da Lei n.º 6/2006 (NRAU); Art. 10.º da Lei n.º 6/2006 (NRAU).</w:t>
      </w:r>
    </w:p>
    <w:sectPr>
      <w:headerReference w:type="default" r:id="rId7"/>
      <w:footerReference w:type="default" r:id="rId8"/>
      <w:pgSz w:w="11906" w:h="16838" w:orient="portrait"/>
      <w:pgMar w:top="1000" w:right="1080" w:bottom="11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4"/>
        <w:szCs w:val="14"/>
      </w:rPr>
      <w:t xml:space="preserve">Gerado com Aluseg.com — modelos gratuitos para senhorios · app.aluseg.com · 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4"/>
        <w:szCs w:val="14"/>
      </w:rPr>
      <w:t xml:space="preserve">/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5869" w:sz="12" w:space="6"/>
      </w:pBdr>
      <w:tabs>
        <w:tab w:val="right" w:pos="9746"/>
      </w:tabs>
    </w:pPr>
    <w:r>
      <w:drawing>
        <wp:inline distT="0" distB="0" distL="0" distR="0">
          <wp:extent cx="1123950" cy="4191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5B6770"/>
        <w:sz w:val="14"/>
        <w:szCs w:val="14"/>
      </w:rPr>
      <w:t xml:space="preserve">	Modelos gratuitos para senhorios · aluseg.com/documentos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_b3rogtgaqrrrbynobtnt" Type="http://schemas.openxmlformats.org/officeDocument/2006/relationships/hyperlink" Target="https://app.aluseg.com/login?mode=signup&amp;utm_source=documento&amp;utm_medium=docx&amp;utm_campaign=comunicacao-fim-de-contrato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dbdbe0c4b8568ee3ca6a749cbb83f546f43ead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2026-08-15T07:59:09.487Z</dcterms:created>
  <dcterms:modified xsi:type="dcterms:W3CDTF">2026-08-15T07:59:09.487Z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