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sz w:val="28"/>
          <w:szCs w:val="28"/>
        </w:rPr>
        <w:t xml:space="preserve">INVENTÁRIO DO IMÓVEL</w:t>
      </w:r>
    </w:p>
    <w:p>
      <w:pPr>
        <w:spacing w:after="60"/>
        <w:jc w:val="center"/>
      </w:pPr>
      <w:r>
        <w:rPr>
          <w:color w:val="333333"/>
          <w:sz w:val="19"/>
          <w:szCs w:val="19"/>
        </w:rPr>
        <w:t xml:space="preserve">Arrendamento habitacional mobilado — anexo ao contrato de arrendamento</w:t>
      </w:r>
    </w:p>
    <w:p>
      <w:pPr>
        <w:spacing w:after="160"/>
      </w:pPr>
    </w:p>
    <w:p>
      <w:pPr>
        <w:spacing w:after="140"/>
        <w:jc w:val="both"/>
      </w:pPr>
      <w:r>
        <w:t xml:space="preserve">Este inventário lista os bens móveis, os eletrodomésticos e os equipamentos existentes no imóvel arrendado, com a respetiva quantidade e estado, e constitui um anexo ao contrato de arrendamento, complementar à vistoria de entrada. É especialmente relevante em arrendamento mobilado, pois fundamenta eventuais decisões sobre a caução no final do contrato. Duplique a tabela «Quarto» tantas vezes quantos os quartos existentes no imóvel.</w:t>
      </w:r>
    </w:p>
    <w:p>
      <w:pPr>
        <w:tabs>
          <w:tab w:val="right" w:pos="9746" w:leader="dot"/>
        </w:tabs>
        <w:spacing w:after="160"/>
      </w:pPr>
      <w:r>
        <w:t xml:space="preserve">Morada do imóvel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Referência do contrato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Data do inventário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Nome completo do Senhorio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Nome completo do Arrendatário</w:t>
      </w:r>
      <w:r>
        <w:t xml:space="preserve">: </w:t>
      </w:r>
      <w:r>
        <w:t xml:space="preserve">	</w:t>
      </w:r>
    </w:p>
    <w:p>
      <w:pPr>
        <w:spacing w:after="140"/>
        <w:jc w:val="both"/>
      </w:pPr>
      <w:r>
        <w:rPr>
          <w:i/>
          <w:iCs/>
          <w:color w:val="444444"/>
          <w:sz w:val="18"/>
          <w:szCs w:val="18"/>
        </w:rPr>
        <w:t xml:space="preserve">Anexo ao contrato de arrendamento celebrado em [data], respeitante ao imóvel identificado acima, no âmbito do regime geral do arrendamento urbano (Lei n.º 6/2006 — NRAU).</w:t>
      </w:r>
    </w:p>
    <w:p>
      <w:pPr>
        <w:spacing w:after="140"/>
        <w:jc w:val="both"/>
      </w:pPr>
      <w:r>
        <w:rPr>
          <w:i/>
          <w:iCs/>
          <w:color w:val="444444"/>
          <w:sz w:val="18"/>
          <w:szCs w:val="18"/>
        </w:rPr>
        <w:t xml:space="preserve">Estados a atribuir a cada bem: Novo, Bom, Razoável, Usado ou Danificado. Registe o estado à data deste inventário; use a coluna «Observações» para detalhar marcas, desgaste ou avarias.</w:t>
      </w:r>
    </w:p>
    <w:p>
      <w:pPr>
        <w:spacing w:after="140"/>
        <w:jc w:val="both"/>
      </w:pPr>
      <w:r>
        <w:rPr>
          <w:i/>
          <w:iCs/>
          <w:color w:val="444444"/>
          <w:sz w:val="18"/>
          <w:szCs w:val="18"/>
        </w:rPr>
        <w:t xml:space="preserve">Porque é que este inventário conta: o Arrendatário é obrigado a manter e restituir a coisa no estado em que a recebeu, ressalvadas as deteriorações inerentes a uma prudente utilização (art. 1043.º, n.º 1 do Código Civil). Na falta de documento onde as partes tenham descrito o estado dos bens ao tempo da entrega, presume-se que foram entregues em bom estado de manutenção (art. 1043.º, n.º 2). Este inventário, assinado por ambas as partes, é esse documento — e é a prova que permite distinguir, no fim do contrato, o desgaste normal do bem em falta ou danificado.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HALL / ENTRADA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  <w:tblCellMar>
          <w:top w:type="dxa" w:w="60"/>
          <w:left w:type="dxa" w:w="90"/>
          <w:bottom w:type="dxa" w:w="60"/>
          <w:right w:type="dxa" w:w="90"/>
        </w:tblCellMar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36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ITEM</w:t>
            </w:r>
          </w:p>
        </w:tc>
        <w:tc>
          <w:tcPr>
            <w:tcW w:type="pct" w:w="14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QUANTIDADE</w:t>
            </w:r>
          </w:p>
        </w:tc>
        <w:tc>
          <w:tcPr>
            <w:tcW w:type="pct" w:w="16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ESTADO</w:t>
            </w:r>
          </w:p>
        </w:tc>
        <w:tc>
          <w:tcPr>
            <w:tcW w:type="pct" w:w="34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OBSERVAÇÕES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Móvel de entrada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Espelho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Cabide de pé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pacing w:after="60"/>
      </w:pP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SALA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  <w:tblCellMar>
          <w:top w:type="dxa" w:w="60"/>
          <w:left w:type="dxa" w:w="90"/>
          <w:bottom w:type="dxa" w:w="60"/>
          <w:right w:type="dxa" w:w="90"/>
        </w:tblCellMar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36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ITEM</w:t>
            </w:r>
          </w:p>
        </w:tc>
        <w:tc>
          <w:tcPr>
            <w:tcW w:type="pct" w:w="14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QUANTIDADE</w:t>
            </w:r>
          </w:p>
        </w:tc>
        <w:tc>
          <w:tcPr>
            <w:tcW w:type="pct" w:w="16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ESTADO</w:t>
            </w:r>
          </w:p>
        </w:tc>
        <w:tc>
          <w:tcPr>
            <w:tcW w:type="pct" w:w="34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OBSERVAÇÕES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Sofá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Poltrona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Mesa de centro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Mesa de jantar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Cadeiras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Estante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Televisão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Cortinas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Tapete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pacing w:after="60"/>
      </w:pP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COZINHA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  <w:tblCellMar>
          <w:top w:type="dxa" w:w="60"/>
          <w:left w:type="dxa" w:w="90"/>
          <w:bottom w:type="dxa" w:w="60"/>
          <w:right w:type="dxa" w:w="90"/>
        </w:tblCellMar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36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ITEM</w:t>
            </w:r>
          </w:p>
        </w:tc>
        <w:tc>
          <w:tcPr>
            <w:tcW w:type="pct" w:w="14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QUANTIDADE</w:t>
            </w:r>
          </w:p>
        </w:tc>
        <w:tc>
          <w:tcPr>
            <w:tcW w:type="pct" w:w="16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ESTADO</w:t>
            </w:r>
          </w:p>
        </w:tc>
        <w:tc>
          <w:tcPr>
            <w:tcW w:type="pct" w:w="34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OBSERVAÇÕES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Frigorífico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Placa (fogão)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Forno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Exaustor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Micro-ondas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Máquina de lavar loiça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Máquina de lavar roupa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Esquentador (termoacumulador)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Loiça e utensílios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pacing w:after="60"/>
      </w:pP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QUARTO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  <w:tblCellMar>
          <w:top w:type="dxa" w:w="60"/>
          <w:left w:type="dxa" w:w="90"/>
          <w:bottom w:type="dxa" w:w="60"/>
          <w:right w:type="dxa" w:w="90"/>
        </w:tblCellMar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36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ITEM</w:t>
            </w:r>
          </w:p>
        </w:tc>
        <w:tc>
          <w:tcPr>
            <w:tcW w:type="pct" w:w="14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QUANTIDADE</w:t>
            </w:r>
          </w:p>
        </w:tc>
        <w:tc>
          <w:tcPr>
            <w:tcW w:type="pct" w:w="16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ESTADO</w:t>
            </w:r>
          </w:p>
        </w:tc>
        <w:tc>
          <w:tcPr>
            <w:tcW w:type="pct" w:w="34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OBSERVAÇÕES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Cama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Colchão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Mesa de cabeceira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Roupeiro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Cómoda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Secretária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Cortinas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pacing w:after="60"/>
      </w:pP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CASA DE BANHO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  <w:tblCellMar>
          <w:top w:type="dxa" w:w="60"/>
          <w:left w:type="dxa" w:w="90"/>
          <w:bottom w:type="dxa" w:w="60"/>
          <w:right w:type="dxa" w:w="90"/>
        </w:tblCellMar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36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ITEM</w:t>
            </w:r>
          </w:p>
        </w:tc>
        <w:tc>
          <w:tcPr>
            <w:tcW w:type="pct" w:w="14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QUANTIDADE</w:t>
            </w:r>
          </w:p>
        </w:tc>
        <w:tc>
          <w:tcPr>
            <w:tcW w:type="pct" w:w="16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ESTADO</w:t>
            </w:r>
          </w:p>
        </w:tc>
        <w:tc>
          <w:tcPr>
            <w:tcW w:type="pct" w:w="34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OBSERVAÇÕES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Armário de casa de banho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Tapete de casa de banho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Cesto de roupa suja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pacing w:after="60"/>
      </w:pP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VARANDA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  <w:tblCellMar>
          <w:top w:type="dxa" w:w="60"/>
          <w:left w:type="dxa" w:w="90"/>
          <w:bottom w:type="dxa" w:w="60"/>
          <w:right w:type="dxa" w:w="90"/>
        </w:tblCellMar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36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ITEM</w:t>
            </w:r>
          </w:p>
        </w:tc>
        <w:tc>
          <w:tcPr>
            <w:tcW w:type="pct" w:w="14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QUANTIDADE</w:t>
            </w:r>
          </w:p>
        </w:tc>
        <w:tc>
          <w:tcPr>
            <w:tcW w:type="pct" w:w="16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ESTADO</w:t>
            </w:r>
          </w:p>
        </w:tc>
        <w:tc>
          <w:tcPr>
            <w:tcW w:type="pct" w:w="34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OBSERVAÇÕES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Estendal de roupa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Mobiliário de exterior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Vasos e floreiras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pacing w:after="60"/>
      </w:pP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ARRECADAÇÃO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  <w:tblCellMar>
          <w:top w:type="dxa" w:w="60"/>
          <w:left w:type="dxa" w:w="90"/>
          <w:bottom w:type="dxa" w:w="60"/>
          <w:right w:type="dxa" w:w="90"/>
        </w:tblCellMar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36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ITEM</w:t>
            </w:r>
          </w:p>
        </w:tc>
        <w:tc>
          <w:tcPr>
            <w:tcW w:type="pct" w:w="14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QUANTIDADE</w:t>
            </w:r>
          </w:p>
        </w:tc>
        <w:tc>
          <w:tcPr>
            <w:tcW w:type="pct" w:w="16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ESTADO</w:t>
            </w:r>
          </w:p>
        </w:tc>
        <w:tc>
          <w:tcPr>
            <w:tcW w:type="pct" w:w="34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OBSERVAÇÕES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Prateleiras de arrumação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Caixas de arrumação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pacing w:after="60"/>
      </w:pP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GARAGEM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  <w:tblCellMar>
          <w:top w:type="dxa" w:w="60"/>
          <w:left w:type="dxa" w:w="90"/>
          <w:bottom w:type="dxa" w:w="60"/>
          <w:right w:type="dxa" w:w="90"/>
        </w:tblCellMar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36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ITEM</w:t>
            </w:r>
          </w:p>
        </w:tc>
        <w:tc>
          <w:tcPr>
            <w:tcW w:type="pct" w:w="14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QUANTIDADE</w:t>
            </w:r>
          </w:p>
        </w:tc>
        <w:tc>
          <w:tcPr>
            <w:tcW w:type="pct" w:w="16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ESTADO</w:t>
            </w:r>
          </w:p>
        </w:tc>
        <w:tc>
          <w:tcPr>
            <w:tcW w:type="pct" w:w="34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OBSERVAÇÕES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Comando do portão automático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Armário de arrumação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pacing w:after="60"/>
      </w:pP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CONFIRMAÇÕES</w:t>
      </w:r>
    </w:p>
    <w:p>
      <w:pPr>
        <w:spacing w:after="90"/>
        <w:ind w:left="200"/>
      </w:pPr>
      <w:r>
        <w:t xml:space="preserve">☐  </w:t>
      </w:r>
      <w:r>
        <w:t xml:space="preserve">Fotografias em anexo</w:t>
      </w:r>
    </w:p>
    <w:p>
      <w:pPr>
        <w:spacing w:after="90"/>
        <w:ind w:left="200"/>
      </w:pPr>
      <w:r>
        <w:t xml:space="preserve">☐  </w:t>
      </w:r>
      <w:r>
        <w:t xml:space="preserve">Chaves entregues</w:t>
      </w:r>
    </w:p>
    <w:p>
      <w:pPr>
        <w:spacing w:after="90"/>
        <w:ind w:left="200"/>
      </w:pPr>
      <w:r>
        <w:t xml:space="preserve">☐  </w:t>
      </w:r>
      <w:r>
        <w:t xml:space="preserve">Leituras dos contadores registadas</w:t>
      </w:r>
    </w:p>
    <w:p>
      <w:pPr>
        <w:spacing w:after="90"/>
        <w:ind w:left="200"/>
      </w:pPr>
      <w:r>
        <w:t xml:space="preserve">☐  </w:t>
      </w:r>
      <w:r>
        <w:t xml:space="preserve">Cópia entregue a ambas as partes</w:t>
      </w:r>
    </w:p>
    <w:p>
      <w:pPr>
        <w:spacing w:after="140"/>
        <w:jc w:val="both"/>
      </w:pPr>
      <w:r>
        <w:t xml:space="preserve">O Senhorio e o Arrendatário verificaram conjuntamente os bens e equipamentos acima listados e confirmam que o presente inventário reflete fielmente o estado do imóvel arrendado na data indicada, constituindo parte integrante do contrato de arrendamento identificado no cabeçalho.</w:t>
      </w:r>
    </w:p>
    <w:p>
      <w:pPr>
        <w:spacing w:after="200" w:before="300"/>
      </w:pPr>
      <w:r>
        <w:t xml:space="preserve">Feito em _____________________, aos ____ de ______________ de 20____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CellMar>
          <w:top w:type="dxa" w:w="0"/>
          <w:left w:type="dxa" w:w="200"/>
          <w:bottom w:type="dxa" w:w="0"/>
          <w:right w:type="dxa" w:w="200"/>
        </w:tblCellMar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700"/>
            </w:pPr>
          </w:p>
          <w:p>
            <w:pPr>
              <w:pBdr>
                <w:top w:val="single" w:color="000000" w:sz="6" w:space="4"/>
              </w:pBdr>
              <w:jc w:val="center"/>
            </w:pPr>
            <w:r>
              <w:rPr>
                <w:sz w:val="19"/>
                <w:szCs w:val="19"/>
              </w:rPr>
              <w:t xml:space="preserve">O Senhorio</w:t>
            </w:r>
          </w:p>
          <w:p>
            <w:pPr>
              <w:jc w:val="center"/>
            </w:pPr>
            <w:r>
              <w:rPr>
                <w:color w:val="555555"/>
                <w:sz w:val="16"/>
                <w:szCs w:val="16"/>
              </w:rPr>
              <w:t xml:space="preserve">(assinatura conforme documento de identificação)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700"/>
            </w:pPr>
          </w:p>
          <w:p>
            <w:pPr>
              <w:pBdr>
                <w:top w:val="single" w:color="000000" w:sz="6" w:space="4"/>
              </w:pBdr>
              <w:jc w:val="center"/>
            </w:pPr>
            <w:r>
              <w:rPr>
                <w:sz w:val="19"/>
                <w:szCs w:val="19"/>
              </w:rPr>
              <w:t xml:space="preserve">O Arrendatário</w:t>
            </w:r>
          </w:p>
          <w:p>
            <w:pPr>
              <w:jc w:val="center"/>
            </w:pPr>
            <w:r>
              <w:rPr>
                <w:color w:val="555555"/>
                <w:sz w:val="16"/>
                <w:szCs w:val="16"/>
              </w:rPr>
              <w:t xml:space="preserve">(assinatura conforme documento de identificação)</w:t>
            </w:r>
          </w:p>
        </w:tc>
      </w:tr>
    </w:tbl>
    <w:p>
      <w:pPr>
        <w:spacing w:before="240"/>
      </w:pPr>
    </w:p>
    <w:tbl>
      <w:tblPr>
        <w:tblW w:type="pct" w:w="100%"/>
        <w:tblBorders>
          <w:top w:val="single" w:color="B8C7C7" w:sz="6"/>
          <w:left w:val="single" w:color="B8C7C7" w:sz="6"/>
          <w:bottom w:val="single" w:color="B8C7C7" w:sz="6"/>
          <w:right w:val="single" w:color="B8C7C7" w:sz="6"/>
          <w:insideH w:val="none" w:color="FFFFFF" w:sz="0"/>
          <w:insideV w:val="none" w:color="FFFFFF" w:sz="0"/>
        </w:tblBorders>
        <w:tblCellMar>
          <w:top w:type="dxa" w:w="140"/>
          <w:left w:type="dxa" w:w="200"/>
          <w:bottom w:type="dxa" w:w="140"/>
          <w:right w:type="dxa" w:w="200"/>
        </w:tblCellMar>
      </w:tblPr>
      <w:tblGrid>
        <w:gridCol w:w="10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6FAFA" w:val="clear"/>
          </w:tcPr>
          <w:tbl>
            <w:tblPr>
              <w:tblW w:type="pct" w:w="10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spacing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00504F"/>
                      <w:sz w:val="20"/>
                      <w:szCs w:val="20"/>
                    </w:rPr>
                    <w:t xml:space="preserve">Gira os seus arrendamentos gratuitamente na app Aluseg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Registe o inventário e a vistoria do imóvel na aplicação, com fotografias e assinatura digital de ambas as partes.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Conta gratuita — imóveis, inquilinos, contratos e documentos num só lugar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Comunicação do contrato à AT e recibos de renda eletrónicos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Atualização anual da renda calculada automaticamente (coeficiente INE)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Verificação de solvência de candidatos e avisos de prazos legais</w:t>
                  </w:r>
                </w:p>
                <w:p>
                  <w:pPr>
                    <w:spacing w:after="40" w:before="8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Crie a sua conta gratuita em </w:t>
                  </w:r>
                  <w:hyperlink w:history="1" r:id="rIdtyzkii-0nou5k-5_gykxs">
                    <w:r>
                      <w:rPr>
                        <w:rFonts w:ascii="Arial" w:cs="Arial" w:eastAsia="Arial" w:hAnsi="Arial"/>
                        <w:b/>
                        <w:bCs/>
                        <w:color w:val="005869"/>
                        <w:sz w:val="17"/>
                        <w:szCs w:val="17"/>
                      </w:rPr>
                      <w:t xml:space="preserve">app.aluseg.com</w:t>
                    </w:r>
                  </w:hyperlink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 — Sem cartão de crédito · Menos de 2 minutos</w:t>
                  </w:r>
                </w:p>
              </w:tc>
            </w:tr>
          </w:tbl>
          <w:p>
            <w:pPr>
              <w:spacing w:before="60"/>
            </w:pPr>
            <w:r>
              <w:rPr>
                <w:rFonts w:ascii="Arial" w:cs="Arial" w:eastAsia="Arial" w:hAnsi="Arial"/>
                <w:i/>
                <w:iCs/>
                <w:color w:val="777777"/>
                <w:sz w:val="15"/>
                <w:szCs w:val="15"/>
              </w:rPr>
              <w:t xml:space="preserve">Bloco informativo — não integra o documento.</w:t>
            </w:r>
          </w:p>
        </w:tc>
      </w:tr>
    </w:tbl>
    <w:p>
      <w:pPr>
        <w:pBdr>
          <w:top w:val="single" w:color="CCCCCC" w:sz="4" w:space="4"/>
        </w:pBdr>
        <w:spacing w:before="240"/>
      </w:pPr>
      <w:r>
        <w:rPr>
          <w:rFonts w:ascii="Arial" w:cs="Arial" w:eastAsia="Arial" w:hAnsi="Arial"/>
          <w:color w:val="666666"/>
          <w:sz w:val="15"/>
          <w:szCs w:val="15"/>
        </w:rPr>
        <w:t xml:space="preserve">Gerado com Aluseg.com — modelo informativo gerado automaticamente; não dispensa aconselhamento jurídico profissional. Reveja todos os campos antes de assinar ou enviar. Referências legais: Lei n.º 6/2006 (NRAU); Art. 1043.º do Código Civil (manutenção e restituição; presunção de bom estado na falta de documento descritivo); Art. 1076.º, n.º 2 do Código Civil (caução até ao valor correspondente a duas rendas).</w:t>
      </w:r>
    </w:p>
    <w:sectPr>
      <w:headerReference w:type="default" r:id="rId7"/>
      <w:footerReference w:type="default" r:id="rId8"/>
      <w:pgSz w:w="11906" w:h="16838" w:orient="portrait"/>
      <w:pgMar w:top="1000" w:right="1080" w:bottom="11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4"/>
        <w:szCs w:val="14"/>
      </w:rPr>
      <w:t xml:space="preserve">Gerado com Aluseg.com — modelos gratuitos para senhorios · app.aluseg.com · </w:t>
    </w:r>
    <w:r>
      <w:rPr>
        <w:rFonts w:ascii="Arial" w:cs="Arial" w:eastAsia="Arial" w:hAnsi="Arial"/>
        <w:color w:val="888888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888888"/>
        <w:sz w:val="14"/>
        <w:szCs w:val="14"/>
      </w:rPr>
      <w:t xml:space="preserve">/</w:t>
    </w:r>
    <w:r>
      <w:rPr>
        <w:rFonts w:ascii="Arial" w:cs="Arial" w:eastAsia="Arial" w:hAnsi="Arial"/>
        <w:color w:val="888888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5869" w:sz="12" w:space="6"/>
      </w:pBdr>
      <w:tabs>
        <w:tab w:val="right" w:pos="9746"/>
      </w:tabs>
    </w:pPr>
    <w:r>
      <w:drawing>
        <wp:inline distT="0" distB="0" distL="0" distR="0">
          <wp:extent cx="1123950" cy="4191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cs="Arial" w:eastAsia="Arial" w:hAnsi="Arial"/>
        <w:color w:val="5B6770"/>
        <w:sz w:val="14"/>
        <w:szCs w:val="14"/>
      </w:rPr>
      <w:t xml:space="preserve">	Modelos gratuitos para senhorios · aluseg.com/documentos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tyzkii-0nou5k-5_gykxs" Type="http://schemas.openxmlformats.org/officeDocument/2006/relationships/hyperlink" Target="https://app.aluseg.com/login?mode=signup&amp;utm_source=documento&amp;utm_medium=docx&amp;utm_campaign=inventario-do-imovel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dbdbe0c4b8568ee3ca6a749cbb83f546f43ead0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2026-08-15T07:59:11.982Z</dcterms:created>
  <dcterms:modified xsi:type="dcterms:W3CDTF">2026-08-15T07:59:11.982Z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