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MINUTA DE CONTRATO DE ARRENDAMENTO</w:t>
      </w:r>
    </w:p>
    <w:p>
      <w:pPr>
        <w:spacing w:after="60"/>
        <w:jc w:val="center"/>
      </w:pPr>
      <w:r>
        <w:rPr>
          <w:color w:val="333333"/>
          <w:sz w:val="19"/>
          <w:szCs w:val="19"/>
        </w:rPr>
        <w:t xml:space="preserve">Arrendamento urbano para habitação, com prazo certo — Lei n.º 6/2006 (NRAU) e Código Civil</w:t>
      </w:r>
    </w:p>
    <w:p>
      <w:pPr>
        <w:spacing w:after="160"/>
      </w:pPr>
    </w:p>
    <w:p>
      <w:pPr>
        <w:spacing w:after="140"/>
        <w:jc w:val="both"/>
      </w:pPr>
      <w:r>
        <w:t xml:space="preserve">Entre os outorgantes abaixo identificados é celebrado, de boa-fé, o presente </w:t>
      </w:r>
      <w:r>
        <w:rPr>
          <w:b/>
          <w:bCs/>
        </w:rPr>
        <w:t xml:space="preserve">contrato de arrendamento urbano para fins habitacionais</w:t>
      </w:r>
      <w:r>
        <w:t xml:space="preserve">, nos termos da Lei n.º 6/2006, de 27 de fevereiro (NRAU), na redação atual, e dos artigos 1064.º e seguintes do Código Civil, que se rege pelas cláusulas seguintes.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PRIMEIRO OUTORGANTE — SENHORIO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Estado civil e regime de bens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Documento de identificação n.º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IBAN para pagamento da renda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Endereço eletrónico e telefone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Sendo o Senhorio casado e constituindo o imóvel casa de morada de família, o cônjuge deve outorgar igualmente o presente contrato (art. 1682.º-A do Código Civil).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SEGUNDO OUTORGANTE — ARRENDATÁRIO(S)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Estado civil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Documento de identificação n.º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 atual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Endereço eletrónico e telefone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2.º Arrendatário (se aplicável) — nome e 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2.º Arrendatário — documento e morada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Havendo mais do que um Arrendatário, todos devem ser identificados e todos respondem solidariamente por todas as obrigações emergentes do presente contrato.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TERCEIRO OUTORGANTE — FIADOR (SE APLICÁVEL)</w:t>
      </w:r>
    </w:p>
    <w:p>
      <w:pPr>
        <w:tabs>
          <w:tab w:val="right" w:pos="9746" w:leader="dot"/>
        </w:tabs>
        <w:spacing w:after="160"/>
      </w:pPr>
      <w:r>
        <w:t xml:space="preserve">Nome completo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NIF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Documento de identificação n.º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Morada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Preencher apenas se for prestada fiança. Não havendo Fiador, esta secção e a Cláusula 7.ª devem ser eliminadas e a numeração das cláusulas seguintes ajustada.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IDENTIFICAÇÃO DO IMÓVEL ARRENDADO</w:t>
      </w:r>
    </w:p>
    <w:p>
      <w:pPr>
        <w:tabs>
          <w:tab w:val="right" w:pos="9746" w:leader="dot"/>
        </w:tabs>
        <w:spacing w:after="160"/>
      </w:pPr>
      <w:r>
        <w:t xml:space="preserve">Morada completa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Fração ou andar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Freguesia e concelho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Tipologia e área (m²)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Descrição predial n.º (Conservatória)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Artigo matricial urbano n.º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Licença de utilização n.º e data</w:t>
      </w:r>
      <w:r>
        <w:t xml:space="preserve">: </w:t>
      </w:r>
      <w:r>
        <w:t xml:space="preserve">	</w:t>
      </w:r>
    </w:p>
    <w:p>
      <w:pPr>
        <w:tabs>
          <w:tab w:val="right" w:pos="9746" w:leader="dot"/>
        </w:tabs>
        <w:spacing w:after="160"/>
      </w:pPr>
      <w:r>
        <w:t xml:space="preserve">Certificado energético n.º</w:t>
      </w:r>
      <w:r>
        <w:t xml:space="preserve">: </w:t>
      </w:r>
      <w:r>
        <w:t xml:space="preserve">	</w:t>
      </w:r>
    </w:p>
    <w:p>
      <w:pPr>
        <w:spacing w:after="140"/>
        <w:jc w:val="both"/>
      </w:pPr>
      <w:r>
        <w:t xml:space="preserve">O imóvel é arrendado com os bens e equipamentos assinalados:</w:t>
      </w:r>
    </w:p>
    <w:p>
      <w:pPr>
        <w:spacing w:after="90"/>
        <w:ind w:left="200"/>
      </w:pPr>
      <w:r>
        <w:t xml:space="preserve">☐  </w:t>
      </w:r>
      <w:r>
        <w:t xml:space="preserve">Mobília</w:t>
      </w:r>
    </w:p>
    <w:p>
      <w:pPr>
        <w:spacing w:after="90"/>
        <w:ind w:left="200"/>
      </w:pPr>
      <w:r>
        <w:t xml:space="preserve">☐  </w:t>
      </w:r>
      <w:r>
        <w:t xml:space="preserve">Eletrodomésticos</w:t>
      </w:r>
    </w:p>
    <w:p>
      <w:pPr>
        <w:spacing w:after="90"/>
        <w:ind w:left="200"/>
      </w:pPr>
      <w:r>
        <w:t xml:space="preserve">☐  </w:t>
      </w:r>
      <w:r>
        <w:t xml:space="preserve">Estacionamento</w:t>
      </w:r>
    </w:p>
    <w:p>
      <w:pPr>
        <w:spacing w:after="90"/>
        <w:ind w:left="200"/>
      </w:pPr>
      <w:r>
        <w:t xml:space="preserve">☐  </w:t>
      </w:r>
      <w:r>
        <w:t xml:space="preserve">Garagem</w:t>
      </w:r>
    </w:p>
    <w:p>
      <w:pPr>
        <w:spacing w:after="90"/>
        <w:ind w:left="200"/>
      </w:pPr>
      <w:r>
        <w:t xml:space="preserve">☐  </w:t>
      </w:r>
      <w:r>
        <w:t xml:space="preserve">Arrumos</w:t>
      </w:r>
    </w:p>
    <w:p>
      <w:pPr>
        <w:spacing w:after="90"/>
        <w:ind w:left="200"/>
      </w:pPr>
      <w:r>
        <w:t xml:space="preserve">☐  </w:t>
      </w:r>
      <w:r>
        <w:t xml:space="preserve">Terraço ou jardim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1.ª — OBJETO E FIM DO ARRENDAMENTO</w:t>
      </w:r>
    </w:p>
    <w:p>
      <w:pPr>
        <w:spacing w:after="140"/>
        <w:jc w:val="both"/>
      </w:pPr>
      <w:r>
        <w:t xml:space="preserve">Pelo presente contrato, o Senhorio dá de arrendamento ao Arrendatário, que aceita, o imóvel identificado acima, do qual é proprietário e legítimo possuidor, com os bens e equipamentos assinalados.</w:t>
      </w:r>
    </w:p>
    <w:p>
      <w:pPr>
        <w:spacing w:after="140"/>
        <w:jc w:val="both"/>
      </w:pPr>
      <w:r>
        <w:t xml:space="preserve">O locado destina-se exclusivamente a </w:t>
      </w:r>
      <w:r>
        <w:rPr>
          <w:b/>
          <w:bCs/>
        </w:rPr>
        <w:t xml:space="preserve">habitação própria e permanente do Arrendatário</w:t>
      </w:r>
      <w:r>
        <w:t xml:space="preserve"> e do seu agregado familiar, em uso privativo e exclusivo (art. 1067.º do Código Civil), não lhe podendo ser dado outro uso sem autorização escrita do Senhorio, por força do dever de não aplicar a coisa a fim diverso daquele a que se destina (art. 1038.º, alínea c) do Código Civil).</w:t>
      </w:r>
    </w:p>
    <w:p>
      <w:pPr>
        <w:spacing w:after="140"/>
        <w:jc w:val="both"/>
      </w:pPr>
      <w:r>
        <w:t xml:space="preserve">Tratando-se de habitação não permanente, deve indicar-se aqui o motivo temporário: [motivo temporário], expressamente declarado para os efeitos do art. 1095.º, n.º 3 do Código Civil.</w:t>
      </w:r>
    </w:p>
    <w:p>
      <w:pPr>
        <w:spacing w:after="140"/>
        <w:jc w:val="both"/>
      </w:pPr>
      <w:r>
        <w:t xml:space="preserve">O Senhorio declara que o locado dispõe da licença de utilização e do certificado energético identificados acima, entregando cópia de ambos ao Arrendatário na presente data (art. 1070.º do Código Civil e Decreto-Lei n.º 160/2006; Decreto-Lei n.º 101-D/2020). Os prédios anteriores a 7 de agosto de 1951 estão dispensados de licença de utilização, mediante prova documental da data de construção.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2.ª — PRAZO E RENOVAÇÃO</w:t>
      </w:r>
    </w:p>
    <w:p>
      <w:pPr>
        <w:spacing w:after="140"/>
        <w:jc w:val="both"/>
      </w:pPr>
      <w:r>
        <w:t xml:space="preserve">O presente contrato é celebrado com prazo certo de </w:t>
      </w:r>
      <w:r>
        <w:rPr>
          <w:b/>
          <w:bCs/>
        </w:rPr>
        <w:t xml:space="preserve">[número] [meses ou anos]</w:t>
      </w:r>
      <w:r>
        <w:t xml:space="preserve">, com início em </w:t>
      </w:r>
      <w:r>
        <w:rPr>
          <w:b/>
          <w:bCs/>
        </w:rPr>
        <w:t xml:space="preserve">[data de início]</w:t>
      </w:r>
      <w:r>
        <w:t xml:space="preserve"> e termo em </w:t>
      </w:r>
      <w:r>
        <w:rPr>
          <w:b/>
          <w:bCs/>
        </w:rPr>
        <w:t xml:space="preserve">[data de termo]</w:t>
      </w:r>
      <w:r>
        <w:t xml:space="preserve">.</w:t>
      </w:r>
    </w:p>
    <w:p>
      <w:pPr>
        <w:spacing w:after="140"/>
        <w:jc w:val="both"/>
      </w:pPr>
      <w:r>
        <w:t xml:space="preserve">Findo o prazo, o contrato renova-se automaticamente por períodos sucessivos de </w:t>
      </w:r>
      <w:r>
        <w:rPr>
          <w:b/>
          <w:bCs/>
        </w:rPr>
        <w:t xml:space="preserve">[duração de cada renovação]</w:t>
      </w:r>
      <w:r>
        <w:t xml:space="preserve">, convencionando as partes expressamente esta duração ao abrigo do art. 1096.º, n.º 1 do Código Civil.</w:t>
      </w:r>
    </w:p>
    <w:p>
      <w:pPr>
        <w:spacing w:after="140"/>
        <w:jc w:val="both"/>
      </w:pPr>
      <w:r>
        <w:t xml:space="preserve">Querendo as partes afastar a renovação automática, devem substituir o parágrafo anterior pelo seguinte: as partes convencionam expressamente, ao abrigo do art. 1096.º, n.º 2 do Código Civil, que o contrato não se renova, caducando no termo do prazo fixado.</w:t>
      </w:r>
    </w:p>
    <w:p>
      <w:pPr>
        <w:spacing w:after="140"/>
        <w:jc w:val="both"/>
      </w:pPr>
      <w:r>
        <w:t xml:space="preserve">Nos arrendamentos para habitação própria e permanente o prazo certo não pode ser inferior a um ano nem exceder 30 anos, considerando-se reduzido a esse limite quando o exceda (art. 1095.º, n.º 2 do Código Civil); prazos inferiores a um ano só são admitidos para habitação não permanente ou fins especiais transitórios (art. 1095.º, n.º 3 do Código Civil).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3.ª — RENDA E CONDIÇÕES DE PAGAMENTO</w:t>
      </w:r>
    </w:p>
    <w:p>
      <w:pPr>
        <w:spacing w:after="140"/>
        <w:jc w:val="both"/>
      </w:pPr>
      <w:r>
        <w:t xml:space="preserve">A renda mensal é de </w:t>
      </w:r>
      <w:r>
        <w:rPr>
          <w:b/>
          <w:bCs/>
        </w:rPr>
        <w:t xml:space="preserve">[valor em euros]</w:t>
      </w:r>
      <w:r>
        <w:t xml:space="preserve"> ([valor por extenso]), a pagar até ao dia </w:t>
      </w:r>
      <w:r>
        <w:rPr>
          <w:b/>
          <w:bCs/>
        </w:rPr>
        <w:t xml:space="preserve">[dia de vencimento]</w:t>
      </w:r>
      <w:r>
        <w:t xml:space="preserve"> do mês a que respeita, por transferência bancária para o IBAN </w:t>
      </w:r>
      <w:r>
        <w:rPr>
          <w:b/>
          <w:bCs/>
        </w:rPr>
        <w:t xml:space="preserve">[IBAN do Senhorio]</w:t>
      </w:r>
      <w:r>
        <w:t xml:space="preserve">, indicado na identificação das partes.</w:t>
      </w:r>
    </w:p>
    <w:p>
      <w:pPr>
        <w:spacing w:after="140"/>
        <w:jc w:val="both"/>
      </w:pPr>
      <w:r>
        <w:t xml:space="preserve">O comprovativo de transferência vale como prova de pagamento até à emissão do respetivo recibo, sem prejuízo da emissão do recibo de renda eletrónico nos termos legalmente exigíveis.</w:t>
      </w:r>
    </w:p>
    <w:p>
      <w:pPr>
        <w:spacing w:after="140"/>
        <w:jc w:val="both"/>
      </w:pPr>
      <w:r>
        <w:t xml:space="preserve">A renda é atualizável anualmente, decorrido um ano sobre o início do contrato ou sobre a última atualização, de acordo com o coeficiente de atualização anual de rendas publicado pelo INE, mediante comunicação escrita ao Arrendatário com a antecedência mínima de 30 dias (art. 1077.º do Código Civil).</w:t>
      </w:r>
    </w:p>
    <w:p>
      <w:pPr>
        <w:spacing w:after="140"/>
        <w:jc w:val="both"/>
      </w:pPr>
      <w:r>
        <w:t xml:space="preserve">A falta de pagamento da renda por período igual ou superior a três meses confere ao Senhorio o direito de resolução do contrato (art. 1083.º, n.º 3 do Código Civil), o mesmo sucedendo com a mora no pagamento da renda superior a oito dias, por mais de quatro vezes, seguidas ou interpoladas, num período de 12 meses (art. 1083.º, n.º 4 do Código Civil).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4.ª — RENDA ANTECIPADA E CAUÇÃO</w:t>
      </w:r>
    </w:p>
    <w:p>
      <w:pPr>
        <w:spacing w:after="140"/>
        <w:jc w:val="both"/>
      </w:pPr>
      <w:r>
        <w:t xml:space="preserve">A título de renda antecipada, o Arrendatário entrega nesta data ao Senhorio a quantia de </w:t>
      </w:r>
      <w:r>
        <w:rPr>
          <w:b/>
          <w:bCs/>
        </w:rPr>
        <w:t xml:space="preserve">[valor em euros]</w:t>
      </w:r>
      <w:r>
        <w:t xml:space="preserve">, correspondente a </w:t>
      </w:r>
      <w:r>
        <w:rPr>
          <w:b/>
          <w:bCs/>
        </w:rPr>
        <w:t xml:space="preserve">[número]</w:t>
      </w:r>
      <w:r>
        <w:t xml:space="preserve"> mês(es) de renda, a imputar ao(s) primeiro(s) mês(es) de vigência do contrato. A antecipação do pagamento da renda depende de acordo escrito e não pode respeitar a período superior a </w:t>
      </w:r>
      <w:r>
        <w:rPr>
          <w:b/>
          <w:bCs/>
        </w:rPr>
        <w:t xml:space="preserve">dois meses</w:t>
      </w:r>
      <w:r>
        <w:t xml:space="preserve"> (art. 1076.º, n.º 1 do Código Civil), servindo a presente cláusula de acordo escrito para esse efeito.</w:t>
      </w:r>
    </w:p>
    <w:p>
      <w:pPr>
        <w:spacing w:after="140"/>
        <w:jc w:val="both"/>
      </w:pPr>
      <w:r>
        <w:t xml:space="preserve">A título de caução do cumprimento das obrigações emergentes do presente contrato, o Arrendatário entrega ao Senhorio a quantia de </w:t>
      </w:r>
      <w:r>
        <w:rPr>
          <w:b/>
          <w:bCs/>
        </w:rPr>
        <w:t xml:space="preserve">[valor em euros]</w:t>
      </w:r>
      <w:r>
        <w:t xml:space="preserve">, correspondente a </w:t>
      </w:r>
      <w:r>
        <w:rPr>
          <w:b/>
          <w:bCs/>
        </w:rPr>
        <w:t xml:space="preserve">[número]</w:t>
      </w:r>
      <w:r>
        <w:t xml:space="preserve"> renda(s), no ato da assinatura do presente contrato. Nos termos do art. 1076.º, n.º 2 do Código Civil, as partes podem caucionar o cumprimento das obrigações respetivas </w:t>
      </w:r>
      <w:r>
        <w:rPr>
          <w:b/>
          <w:bCs/>
        </w:rPr>
        <w:t xml:space="preserve">até ao valor correspondente a duas rendas</w:t>
      </w:r>
      <w:r>
        <w:t xml:space="preserve">, limite que a quantia acima indicada não excede.</w:t>
      </w:r>
    </w:p>
    <w:p>
      <w:pPr>
        <w:spacing w:after="140"/>
        <w:jc w:val="both"/>
      </w:pPr>
      <w:r>
        <w:t xml:space="preserve">A caução é devolvida ao Arrendatário no prazo de 30 (trinta) dias após a entrega das chaves e a restituição do locado, deduzidas as rendas e encargos em dívida e o custo da reparação de danos que lhe sejam imputáveis, salvo os decorrentes de uma prudente utilização.</w:t>
      </w:r>
    </w:p>
    <w:p>
      <w:pPr>
        <w:spacing w:after="140"/>
        <w:jc w:val="both"/>
      </w:pPr>
      <w:r>
        <w:t xml:space="preserve">Sendo prestada garantia bancária ou seguro de renda em vez de caução em dinheiro, indicar aqui a modalidade e o valor: [modalidade da garantia] no valor de [valor em euros]. Não sendo prestada qualquer garantia, as partes declaram expressamente não a ter convencionado.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5.ª — CONSERVAÇÃO, USO E PROIBIÇÕES</w:t>
      </w:r>
    </w:p>
    <w:p>
      <w:pPr>
        <w:spacing w:after="140"/>
        <w:jc w:val="both"/>
      </w:pPr>
      <w:r>
        <w:rPr>
          <w:b/>
          <w:bCs/>
        </w:rPr>
        <w:t xml:space="preserve">Obrigações do Arrendatário:</w:t>
      </w:r>
      <w:r>
        <w:t xml:space="preserve"> o Arrendatário obriga-se a manter e a restituir o locado no estado em que o recebeu, ressalvadas as deteriorações inerentes a uma prudente utilização, em conformidade com os fins do contrato (art. 1043.º, n.º 1 do Código Civil), e não pode praticar atos que o deteriorem ou que perturbem a normal utilização das partes comuns e a tranquilidade da vizinhança. As partes convencionam ainda, ao abrigo da ressalva final do art. 1074.º, n.º 1 do Código Civil, que ficam a cargo do Arrendatário a manutenção corrente e as pequenas reparações resultantes do uso normal do imóvel.</w:t>
      </w:r>
    </w:p>
    <w:p>
      <w:pPr>
        <w:spacing w:after="140"/>
        <w:jc w:val="both"/>
      </w:pPr>
      <w:r>
        <w:rPr>
          <w:b/>
          <w:bCs/>
        </w:rPr>
        <w:t xml:space="preserve">Obrigações do Senhorio:</w:t>
      </w:r>
      <w:r>
        <w:t xml:space="preserve"> cabem ao Senhorio as obras de conservação ordinária e extraordinária do locado e a manutenção das suas condições de habitabilidade e de segurança (art. 1074.º do Código Civil).</w:t>
      </w:r>
    </w:p>
    <w:p>
      <w:pPr>
        <w:spacing w:after="140"/>
        <w:jc w:val="both"/>
      </w:pPr>
      <w:r>
        <w:rPr>
          <w:b/>
          <w:bCs/>
        </w:rPr>
        <w:t xml:space="preserve">Obras e benfeitorias:</w:t>
      </w:r>
      <w:r>
        <w:t xml:space="preserve"> o Arrendatário não pode realizar obras ou benfeitorias sem autorização prévia e escrita do Senhorio; as que forem realizadas e não possam ser levantadas sem detrimento do imóvel revertem para o locado sem direito a indemnização, afastando as partes expressamente o regime supletivo dos arts. 1273.º e 1274.º do Código Civil.</w:t>
      </w:r>
    </w:p>
    <w:p>
      <w:pPr>
        <w:spacing w:after="140"/>
        <w:jc w:val="both"/>
      </w:pPr>
      <w:r>
        <w:rPr>
          <w:b/>
          <w:bCs/>
        </w:rPr>
        <w:t xml:space="preserve">Subarrendamento, cessão e animais de estimação:</w:t>
      </w:r>
      <w:r>
        <w:t xml:space="preserve"> aplicam-se as opções assinaladas abaixo. A cessão, total ou parcial, temporária ou permanente e onerosa ou gratuita, do gozo do locado, quando ilícita, inválida ou ineficaz perante o Senhorio — designadamente o subarrendamento não consentido —, é fundamento de resolução do contrato nos termos do art. 1083.º, n.º 2, alínea e) do Código Civil.</w:t>
      </w:r>
    </w:p>
    <w:p>
      <w:pPr>
        <w:spacing w:after="90"/>
        <w:ind w:left="200"/>
      </w:pPr>
      <w:r>
        <w:t xml:space="preserve">☐  </w:t>
      </w:r>
      <w:r>
        <w:t xml:space="preserve">Subarrendamento e cessão da posição contratual: proibidos</w:t>
      </w:r>
    </w:p>
    <w:p>
      <w:pPr>
        <w:spacing w:after="90"/>
        <w:ind w:left="200"/>
      </w:pPr>
      <w:r>
        <w:t xml:space="preserve">☐  </w:t>
      </w:r>
      <w:r>
        <w:t xml:space="preserve">Subarrendamento permitido apenas com autorização escrita do Senhorio</w:t>
      </w:r>
    </w:p>
    <w:p>
      <w:pPr>
        <w:spacing w:after="90"/>
        <w:ind w:left="200"/>
      </w:pPr>
      <w:r>
        <w:t xml:space="preserve">☐  </w:t>
      </w:r>
      <w:r>
        <w:t xml:space="preserve">Animais de estimação: não permitidos</w:t>
      </w:r>
    </w:p>
    <w:p>
      <w:pPr>
        <w:spacing w:after="90"/>
        <w:ind w:left="200"/>
      </w:pPr>
      <w:r>
        <w:t xml:space="preserve">☐  </w:t>
      </w:r>
      <w:r>
        <w:t xml:space="preserve">Animais de estimação permitidos, nas condições acordadas por escrito</w:t>
      </w:r>
    </w:p>
    <w:p>
      <w:pPr>
        <w:spacing w:after="90"/>
        <w:ind w:left="200"/>
      </w:pPr>
      <w:r>
        <w:t xml:space="preserve">☐  </w:t>
      </w:r>
      <w:r>
        <w:t xml:space="preserve">Obras pelo Arrendatário: proibidas sem autorização prévia e escrita</w:t>
      </w:r>
    </w:p>
    <w:p>
      <w:pPr>
        <w:spacing w:after="90"/>
        <w:ind w:left="200"/>
      </w:pPr>
      <w:r>
        <w:t xml:space="preserve">☐  </w:t>
      </w:r>
      <w:r>
        <w:t xml:space="preserve">Pequenas obras de conservação permitidas ao Arrendatário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6.ª — PRAZOS DE AVISO, OPOSIÇÃO À RENOVAÇÃO E RESOLUÇÃO</w:t>
      </w:r>
    </w:p>
    <w:p>
      <w:pPr>
        <w:spacing w:after="140"/>
        <w:jc w:val="both"/>
      </w:pPr>
      <w:r>
        <w:t xml:space="preserve">A oposição à renovação é comunicada por escrito à outra parte com a antecedência mínima acordada sobre o termo do prazo ou da renovação em curso: Senhorio, </w:t>
      </w:r>
      <w:r>
        <w:rPr>
          <w:b/>
          <w:bCs/>
        </w:rPr>
        <w:t xml:space="preserve">[número] dias</w:t>
      </w:r>
      <w:r>
        <w:t xml:space="preserve"> (art. 1097.º do Código Civil); Arrendatário, </w:t>
      </w:r>
      <w:r>
        <w:rPr>
          <w:b/>
          <w:bCs/>
        </w:rPr>
        <w:t xml:space="preserve">[número] dias</w:t>
      </w:r>
      <w:r>
        <w:t xml:space="preserve"> (art. 1098.º do Código Civil). Os prazos acordados não podem ser inferiores ao mínimo legal aplicável, indicado no quadro seguinte.</w:t>
      </w:r>
    </w:p>
    <w:p>
      <w:pPr>
        <w:spacing w:after="140"/>
        <w:jc w:val="both"/>
      </w:pPr>
      <w:r>
        <w:rPr>
          <w:b/>
          <w:bCs/>
        </w:rPr>
        <w:t xml:space="preserve">Denúncia antecipada pelo Arrendatário:</w:t>
      </w:r>
      <w:r>
        <w:t xml:space="preserve"> decorrido um terço do prazo de duração inicial do contrato, o Arrendatário pode denunciá-lo a todo o tempo, mediante comunicação escrita ao Senhorio com a antecedência mínima de </w:t>
      </w:r>
      <w:r>
        <w:rPr>
          <w:b/>
          <w:bCs/>
        </w:rPr>
        <w:t xml:space="preserve">[número] dias</w:t>
      </w:r>
      <w:r>
        <w:t xml:space="preserve">, nunca inferior ao prazo legal aplicável, produzindo a denúncia efeitos no final de um mês do calendário gregoriano (art. 1098.º, n.ºs 3 a 5 do Código Civil). A inobservância da antecedência não obsta à cessação, mas obriga ao pagamento das rendas correspondentes ao período de pré-aviso em falta.</w:t>
      </w:r>
    </w:p>
    <w:p>
      <w:pPr>
        <w:spacing w:after="140"/>
        <w:jc w:val="both"/>
      </w:pPr>
      <w:r>
        <w:rPr>
          <w:b/>
          <w:bCs/>
        </w:rPr>
        <w:t xml:space="preserve">Resolução:</w:t>
      </w:r>
      <w:r>
        <w:t xml:space="preserve"> o incumprimento das obrigações emergentes do presente contrato confere à parte lesada o direito de resolução, nos termos do art. 1083.º do Código Civil. Para a efetivação do despejo, o Senhorio pode recorrer ao Procedimento Especial de Despejo, previsto nos arts. 15.º e seguintes do NRAU.</w:t>
      </w:r>
    </w:p>
    <w:p>
      <w:pPr>
        <w:spacing w:after="140"/>
        <w:jc w:val="both"/>
      </w:pPr>
      <w:r>
        <w:t xml:space="preserve">A oposição à renovação e a resolução são figuras distintas: a primeira apenas impede a renovação no termo do prazo e depende do respeito pelo pré-aviso; a segunda pressupõe incumprimento e obedece ao art. 1083.º do Código Civil.</w:t>
      </w:r>
    </w:p>
    <w:p>
      <w:pPr>
        <w:spacing w:after="140"/>
        <w:jc w:val="both"/>
      </w:pPr>
      <w:r>
        <w:t xml:space="preserve">As comunicações previstas no presente contrato são efetuadas por escrito, por carta registada com aviso de receção para as moradas indicadas na identificação das partes, nos termos dos arts. 9.º e 10.º da Lei n.º 6/2006, de 27 de fevereiro, ou mediante entrega pessoal contra recibo assinado.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  <w:tblCellMar>
          <w:top w:type="dxa" w:w="60"/>
          <w:left w:type="dxa" w:w="90"/>
          <w:bottom w:type="dxa" w:w="60"/>
          <w:right w:type="dxa" w:w="90"/>
        </w:tblCellMar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DURAÇÃO DO CONTRATO</w:t>
            </w:r>
          </w:p>
        </w:tc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SENHORIO — ART. 1097.º (DIAS)</w:t>
            </w:r>
          </w:p>
        </w:tc>
        <w:tc>
          <w:tcPr>
            <w:tcW w:type="pct" w:w="30%"/>
            <w:shd w:fill="F3F8F9" w:val="clear"/>
          </w:tcPr>
          <w:p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ARRENDATÁRIO — ART. 1098.º (DIAS)</w:t>
            </w:r>
          </w:p>
        </w:tc>
      </w:tr>
      <w:tr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Inferior a 6 meses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Um terço do prazo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Um terço do prazo</w:t>
            </w:r>
          </w:p>
        </w:tc>
      </w:tr>
      <w:tr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De 6 meses a menos de 1 ano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60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60</w:t>
            </w:r>
          </w:p>
        </w:tc>
      </w:tr>
      <w:tr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De 1 ano a menos de 6 anos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120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90</w:t>
            </w:r>
          </w:p>
        </w:tc>
      </w:tr>
      <w:tr>
        <w:tc>
          <w:tcPr>
            <w:tcW w:type="pct" w:w="40%"/>
          </w:tcPr>
          <w:p>
            <w:r>
              <w:rPr>
                <w:sz w:val="19"/>
                <w:szCs w:val="19"/>
              </w:rPr>
              <w:t xml:space="preserve">6 anos ou mais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240</w:t>
            </w:r>
          </w:p>
        </w:tc>
        <w:tc>
          <w:tcPr>
            <w:tcW w:type="pct" w:w="30%"/>
          </w:tcPr>
          <w:p>
            <w:r>
              <w:rPr>
                <w:sz w:val="19"/>
                <w:szCs w:val="19"/>
              </w:rPr>
              <w:t xml:space="preserve">120</w:t>
            </w:r>
          </w:p>
        </w:tc>
      </w:tr>
    </w:tbl>
    <w:p>
      <w:pPr>
        <w:spacing w:after="60"/>
      </w:pP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Quadro informativo dos prazos mínimos de pré-aviso em função da duração do contrato. Confirme sempre o prazo aplicável ao seu caso antes de comunicar a oposição à renovação. </w:t>
      </w:r>
      <w:r>
        <w:rPr>
          <w:b/>
          <w:bCs/>
          <w:i/>
          <w:iCs/>
          <w:color w:val="444444"/>
          <w:sz w:val="18"/>
          <w:szCs w:val="18"/>
        </w:rPr>
        <w:t xml:space="preserve">Primeira renovação:</w:t>
      </w:r>
      <w:r>
        <w:rPr>
          <w:i/>
          <w:iCs/>
          <w:color w:val="444444"/>
          <w:sz w:val="18"/>
          <w:szCs w:val="18"/>
        </w:rPr>
        <w:t xml:space="preserve"> a oposição à primeira renovação por parte do Senhorio só produz efeitos decorridos três anos da celebração do contrato, mantendo-se este em vigor até essa data, salvo no caso de necessidade de habitação pelo próprio ou pelos seus descendentes em 1.º grau (art. 1097.º, n.os 3 e 4 do Código Civil).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7.ª — FIANÇA (SE APLICÁVEL)</w:t>
      </w:r>
    </w:p>
    <w:p>
      <w:pPr>
        <w:spacing w:after="140"/>
        <w:jc w:val="both"/>
      </w:pPr>
      <w:r>
        <w:t xml:space="preserve">O Fiador identificado acima constitui-se fiador e principal pagador de todas as obrigações emergentes do presente contrato, incluindo o pagamento pontual da renda, da caução e de quaisquer outros encargos devidos pelo Arrendatário.</w:t>
      </w:r>
    </w:p>
    <w:p>
      <w:pPr>
        <w:spacing w:after="140"/>
        <w:jc w:val="both"/>
      </w:pPr>
      <w:r>
        <w:t xml:space="preserve">O Fiador renuncia expressamente ao benefício da excussão prévia previsto no art. 638.º do Código Civil, podendo o Senhorio exigir-lhe o cumprimento diretamente e em simultâneo com o Arrendatário, sendo a sua responsabilidade solidária e não subsidiária.</w:t>
      </w:r>
    </w:p>
    <w:p>
      <w:pPr>
        <w:spacing w:after="140"/>
        <w:jc w:val="both"/>
      </w:pPr>
      <w:r>
        <w:t xml:space="preserve">A fiança mantém-se nas renovações do contrato, salvo declaração escrita em contrário dirigida ao Senhorio com a antecedência mínima de 60 (sessenta) dias sobre o termo do período em curso.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8.ª — COMUNICAÇÃO À AUTORIDADE TRIBUTÁRIA E IMPOSTO DO SELO</w:t>
      </w:r>
    </w:p>
    <w:p>
      <w:pPr>
        <w:spacing w:after="140"/>
        <w:jc w:val="both"/>
      </w:pPr>
      <w:r>
        <w:t xml:space="preserve">O Senhorio obriga-se a comunicar o presente contrato à Autoridade Tributária e Aduaneira, através do Portal das Finanças, mediante a entrega da declaração Modelo 2 do Imposto do Selo, </w:t>
      </w:r>
      <w:r>
        <w:rPr>
          <w:b/>
          <w:bCs/>
        </w:rPr>
        <w:t xml:space="preserve">até ao fim do mês seguinte ao do início do arrendamento</w:t>
      </w:r>
      <w:r>
        <w:t xml:space="preserve"> (art. 60.º do Código do Imposto do Selo).</w:t>
      </w:r>
    </w:p>
    <w:p>
      <w:pPr>
        <w:spacing w:after="140"/>
        <w:jc w:val="both"/>
      </w:pPr>
      <w:r>
        <w:t xml:space="preserve">O imposto do selo devido corresponde a </w:t>
      </w:r>
      <w:r>
        <w:rPr>
          <w:b/>
          <w:bCs/>
        </w:rPr>
        <w:t xml:space="preserve">10% sobre o valor de uma renda</w:t>
      </w:r>
      <w:r>
        <w:t xml:space="preserve">, nos termos da verba 2 da Tabela Geral do Imposto do Selo, constituindo encargo do Senhorio.</w:t>
      </w:r>
    </w:p>
    <w:p>
      <w:pPr>
        <w:spacing w:after="140"/>
        <w:jc w:val="both"/>
      </w:pPr>
      <w:r>
        <w:t xml:space="preserve">O Senhorio entrega ao Arrendatário, no prazo de 15 dias a contar da comunicação, o respetivo comprovativo.</w:t>
      </w:r>
    </w:p>
    <w:p>
      <w:pPr>
        <w:keepNext/>
        <w:pBdr>
          <w:bottom w:val="single" w:color="333333" w:sz="6" w:space="2"/>
        </w:pBdr>
        <w:spacing w:after="120" w:before="260"/>
      </w:pPr>
      <w:r>
        <w:rPr>
          <w:b/>
          <w:bCs/>
          <w:sz w:val="21"/>
          <w:szCs w:val="21"/>
        </w:rPr>
        <w:t xml:space="preserve">CLÁUSULA 9.ª — LEI APLICÁVEL E FORO</w:t>
      </w:r>
    </w:p>
    <w:p>
      <w:pPr>
        <w:spacing w:after="140"/>
        <w:jc w:val="both"/>
      </w:pPr>
      <w:r>
        <w:t xml:space="preserve">O presente contrato rege-se pela lei portuguesa, designadamente pelo Novo Regime do Arrendamento Urbano (Lei n.º 6/2006, de 27 de fevereiro, na redação atual) e pelo Código Civil.</w:t>
      </w:r>
    </w:p>
    <w:p>
      <w:pPr>
        <w:spacing w:after="140"/>
        <w:jc w:val="both"/>
      </w:pPr>
      <w:r>
        <w:t xml:space="preserve">Para dirimir qualquer litígio emergente da interpretação, execução ou incumprimento do presente contrato, as partes elegem o foro da comarca de </w:t>
      </w:r>
      <w:r>
        <w:rPr>
          <w:b/>
          <w:bCs/>
        </w:rPr>
        <w:t xml:space="preserve">[comarca]</w:t>
      </w:r>
      <w:r>
        <w:t xml:space="preserve">, sem prejuízo das normas legais imperativas de competência territorial.</w:t>
      </w:r>
    </w:p>
    <w:p>
      <w:pPr>
        <w:spacing w:after="140"/>
        <w:jc w:val="both"/>
      </w:pPr>
      <w:r>
        <w:t xml:space="preserve">O presente contrato é celebrado em </w:t>
      </w:r>
      <w:r>
        <w:rPr>
          <w:b/>
          <w:bCs/>
        </w:rPr>
        <w:t xml:space="preserve">[número] exemplares</w:t>
      </w:r>
      <w:r>
        <w:t xml:space="preserve"> de igual valor, ficando um exemplar na posse de cada um dos outorgantes.</w:t>
      </w:r>
    </w:p>
    <w:p>
      <w:pPr>
        <w:spacing w:after="140"/>
        <w:jc w:val="both"/>
      </w:pPr>
      <w:r>
        <w:rPr>
          <w:i/>
          <w:iCs/>
          <w:color w:val="444444"/>
          <w:sz w:val="18"/>
          <w:szCs w:val="18"/>
        </w:rPr>
        <w:t xml:space="preserve">O contrato de arrendamento urbano deve ser celebrado por escrito (art. 1069.º, n.º 1 do Código Civil): assine todas as vias e conserve a sua. Anexos recomendados: inventário do imóvel, auto de vistoria de entrada, cópia da licença de utilização e do certificado energético e comprovativo da comunicação do contrato à Autoridade Tributária.</w:t>
      </w:r>
    </w:p>
    <w:p>
      <w:pPr>
        <w:spacing w:after="200" w:before="300"/>
      </w:pPr>
      <w:r>
        <w:t xml:space="preserve">Feito em _____________________, aos ____ de ______________ de 20____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CellMar>
          <w:top w:type="dxa" w:w="0"/>
          <w:left w:type="dxa" w:w="200"/>
          <w:bottom w:type="dxa" w:w="0"/>
          <w:right w:type="dxa" w:w="200"/>
        </w:tblCellMar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Senhorio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NIF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NIF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Arrendatário (2.º, se aplicável)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NIF</w:t>
            </w:r>
          </w:p>
        </w:tc>
        <w:tc>
          <w:tcPr>
            <w:tcW w:type="pct" w:w="2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700"/>
            </w:pPr>
          </w:p>
          <w:p>
            <w:pPr>
              <w:pBdr>
                <w:top w:val="single" w:color="000000" w:sz="6" w:space="4"/>
              </w:pBdr>
              <w:jc w:val="center"/>
            </w:pPr>
            <w:r>
              <w:rPr>
                <w:sz w:val="19"/>
                <w:szCs w:val="19"/>
              </w:rPr>
              <w:t xml:space="preserve">O Fiador (se aplicável)</w:t>
            </w:r>
          </w:p>
          <w:p>
            <w:pPr>
              <w:jc w:val="center"/>
            </w:pPr>
            <w:r>
              <w:rPr>
                <w:color w:val="555555"/>
                <w:sz w:val="16"/>
                <w:szCs w:val="16"/>
              </w:rPr>
              <w:t xml:space="preserve">Nome e NIF</w:t>
            </w:r>
          </w:p>
        </w:tc>
      </w:tr>
    </w:tbl>
    <w:p>
      <w:pPr>
        <w:spacing w:before="240"/>
      </w:pPr>
    </w:p>
    <w:tbl>
      <w:tblPr>
        <w:tblW w:type="pct" w:w="100%"/>
        <w:tblBorders>
          <w:top w:val="single" w:color="B8C7C7" w:sz="6"/>
          <w:left w:val="single" w:color="B8C7C7" w:sz="6"/>
          <w:bottom w:val="single" w:color="B8C7C7" w:sz="6"/>
          <w:right w:val="single" w:color="B8C7C7" w:sz="6"/>
          <w:insideH w:val="none" w:color="FFFFFF" w:sz="0"/>
          <w:insideV w:val="none" w:color="FFFFFF" w:sz="0"/>
        </w:tblBorders>
        <w:tblCellMar>
          <w:top w:type="dxa" w:w="140"/>
          <w:left w:type="dxa" w:w="200"/>
          <w:bottom w:type="dxa" w:w="140"/>
          <w:right w:type="dxa" w:w="200"/>
        </w:tblCellMar>
      </w:tblPr>
      <w:tblGrid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6FAFA" w:val="clear"/>
          </w:tcPr>
          <w:tbl>
            <w:tblPr>
              <w:tblW w:type="pct" w:w="10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pPr>
                    <w:spacing w:after="8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00504F"/>
                      <w:sz w:val="20"/>
                      <w:szCs w:val="20"/>
                    </w:rPr>
                    <w:t xml:space="preserve">Gira os seus arrendamentos gratuitamente na app Aluseg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Gere o contrato já preenchido, recolha as assinaturas e comunique-o à AT sem sair da app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Conta gratuita — imóveis, inquilinos, contratos e documentos num só lugar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Comunicação do contrato à AT e recibos de renda eletrónicos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Atualização anual da renda calculada automaticamente (coeficiente INE)</w:t>
                  </w:r>
                </w:p>
                <w:p>
                  <w:pPr>
                    <w:spacing w:after="40"/>
                    <w:ind w:left="16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• Verificação de solvência de candidatos e avisos de prazos legais</w:t>
                  </w:r>
                </w:p>
                <w:p>
                  <w:pPr>
                    <w:spacing w:after="40" w:before="80"/>
                  </w:pPr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Crie a sua conta gratuita em </w:t>
                  </w:r>
                  <w:hyperlink w:history="1" r:id="rIdrlu8dr75_oabgtrsslajc">
                    <w:r>
                      <w:rPr>
                        <w:rFonts w:ascii="Arial" w:cs="Arial" w:eastAsia="Arial" w:hAnsi="Arial"/>
                        <w:b/>
                        <w:bCs/>
                        <w:color w:val="005869"/>
                        <w:sz w:val="17"/>
                        <w:szCs w:val="17"/>
                      </w:rPr>
                      <w:t xml:space="preserve">app.aluseg.com</w:t>
                    </w:r>
                  </w:hyperlink>
                  <w:r>
                    <w:rPr>
                      <w:rFonts w:ascii="Arial" w:cs="Arial" w:eastAsia="Arial" w:hAnsi="Arial"/>
                      <w:color w:val="333333"/>
                      <w:sz w:val="17"/>
                      <w:szCs w:val="17"/>
                    </w:rPr>
                    <w:t xml:space="preserve"> — Sem cartão de crédito · Menos de 2 minutos</w:t>
                  </w:r>
                </w:p>
              </w:tc>
            </w:tr>
          </w:tbl>
          <w:p>
            <w:pPr>
              <w:spacing w:before="60"/>
            </w:pPr>
            <w:r>
              <w:rPr>
                <w:rFonts w:ascii="Arial" w:cs="Arial" w:eastAsia="Arial" w:hAnsi="Arial"/>
                <w:i/>
                <w:iCs/>
                <w:color w:val="777777"/>
                <w:sz w:val="15"/>
                <w:szCs w:val="15"/>
              </w:rPr>
              <w:t xml:space="preserve">Bloco informativo — não integra o documento.</w:t>
            </w:r>
          </w:p>
        </w:tc>
      </w:tr>
    </w:tbl>
    <w:p>
      <w:pPr>
        <w:pBdr>
          <w:top w:val="single" w:color="CCCCCC" w:sz="4" w:space="4"/>
        </w:pBdr>
        <w:spacing w:before="2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Gerado com Aluseg.com — modelo informativo gerado automaticamente; não dispensa aconselhamento jurídico profissional. Reveja todos os campos antes de assinar ou enviar. Referências legais: Lei n.º 6/2006, de 27 de fevereiro (NRAU); Código Civil, arts. 1064.º e seguintes (arrendamento urbano); Art. 1069.º do Código Civil (forma escrita do contrato); Art. 1038.º do Código Civil (obrigações do locatário); Art. 1043.º do Código Civil (dever de manutenção e restituição); Art. 1067.º do Código Civil (fim do arrendamento); Art. 1070.º do Código Civil e Decreto-Lei n.º 160/2006 (licença de utilização); Decreto-Lei n.º 101-D/2020 (certificado energético); Art. 1074.º do Código Civil (obras e conservação); Art. 1076.º do Código Civil (renda antecipada até dois meses e caução até duas rendas); Art. 1077.º do Código Civil (atualização da renda); Arts. 1095.º e 1096.º do Código Civil (prazo e renovação); Arts. 1097.º e 1098.º do Código Civil (oposição à renovação e denúncia); Art. 1083.º do Código Civil (resolução); Arts. 15.º e seguintes do NRAU (Procedimento Especial de Despejo); Art. 638.º do Código Civil (fiança — benefício da excussão prévia); Art. 1682.º-A do Código Civil (casa de morada de família); Arts. 9.º e 10.º do NRAU (forma das comunicações); Art. 60.º do Código do Imposto do Selo e verba 2 da Tabela Geral do Imposto do Selo.</w:t>
      </w:r>
    </w:p>
    <w:sectPr>
      <w:headerReference w:type="default" r:id="rId7"/>
      <w:footerReference w:type="default" r:id="rId8"/>
      <w:pgSz w:w="11906" w:h="16838" w:orient="portrait"/>
      <w:pgMar w:top="1000" w:right="1080" w:bottom="11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Gerado com Aluseg.com — modelos gratuitos para senhorios · app.aluseg.com ·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4"/>
        <w:szCs w:val="14"/>
      </w:rPr>
      <w:t xml:space="preserve">/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5869" w:sz="12" w:space="6"/>
      </w:pBdr>
      <w:tabs>
        <w:tab w:val="right" w:pos="9746"/>
      </w:tabs>
    </w:pPr>
    <w:r>
      <w:drawing>
        <wp:inline distT="0" distB="0" distL="0" distR="0">
          <wp:extent cx="1123950" cy="4191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5B6770"/>
        <w:sz w:val="14"/>
        <w:szCs w:val="14"/>
      </w:rPr>
      <w:t xml:space="preserve">	Modelos gratuitos para senhorios · aluseg.com/documentos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rlu8dr75_oabgtrsslajc" Type="http://schemas.openxmlformats.org/officeDocument/2006/relationships/hyperlink" Target="https://app.aluseg.com/login?mode=signup&amp;utm_source=documento&amp;utm_medium=docx&amp;utm_campaign=minuta-contrato-de-arrendamento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dbdbe0c4b8568ee3ca6a749cbb83f546f43ead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2026-08-15T07:59:13.235Z</dcterms:created>
  <dcterms:modified xsi:type="dcterms:W3CDTF">2026-08-15T07:59:13.235Z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