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28"/>
          <w:szCs w:val="28"/>
        </w:rPr>
        <w:t xml:space="preserve">RECIBO DE CAUÇÃO / SECURITY DEPOSIT RECEIPT</w:t>
      </w:r>
    </w:p>
    <w:p>
      <w:pPr>
        <w:spacing w:after="60"/>
        <w:jc w:val="center"/>
      </w:pPr>
      <w:r>
        <w:rPr>
          <w:color w:val="333333"/>
          <w:sz w:val="19"/>
          <w:szCs w:val="19"/>
        </w:rPr>
        <w:t xml:space="preserve">Arrendamento urbano — art. 1076.º, n.º 2, do Código Civil</w:t>
      </w:r>
      <w:r>
        <w:rPr>
          <w:color w:val="333333"/>
          <w:sz w:val="19"/>
          <w:szCs w:val="19"/>
        </w:rPr>
        <w:t xml:space="preserve"> / </w:t>
      </w:r>
      <w:r>
        <w:rPr>
          <w:i/>
          <w:iCs/>
          <w:color w:val="333333"/>
          <w:sz w:val="19"/>
          <w:szCs w:val="19"/>
        </w:rPr>
        <w:t xml:space="preserve">Urban lease — article 1076(2) of the Civil Code</w:t>
      </w:r>
    </w:p>
    <w:p>
      <w:pPr>
        <w:spacing w:after="220"/>
        <w:jc w:val="center"/>
      </w:pPr>
      <w:r>
        <w:rPr>
          <w:rFonts w:ascii="Arial" w:cs="Arial" w:eastAsia="Arial" w:hAnsi="Arial"/>
          <w:i/>
          <w:iCs/>
          <w:color w:val="5B6770"/>
          <w:sz w:val="16"/>
          <w:szCs w:val="16"/>
        </w:rPr>
        <w:t xml:space="preserve">Documento bilingue: em caso de divergência, prevalece a versão portuguesa. / Bilingual document: in case of discrepancy, the Portuguese version prevails.</w:t>
      </w:r>
    </w:p>
    <w:p>
      <w:pPr>
        <w:tabs>
          <w:tab w:val="right" w:pos="9746" w:leader="dot"/>
        </w:tabs>
        <w:spacing w:after="160"/>
      </w:pPr>
      <w:r>
        <w:t xml:space="preserve">Recibo n.º</w:t>
      </w:r>
      <w:r>
        <w:t xml:space="preserve"> / </w:t>
      </w:r>
      <w:r>
        <w:rPr>
          <w:i/>
          <w:iCs/>
        </w:rPr>
        <w:t xml:space="preserve">Receipt no.</w:t>
      </w:r>
      <w:r>
        <w:t xml:space="preserve">: </w:t>
      </w:r>
      <w:r>
        <w:t xml:space="preserve">	</w:t>
      </w:r>
    </w:p>
    <w:p>
      <w:pPr>
        <w:tabs>
          <w:tab w:val="right" w:pos="9746" w:leader="dot"/>
        </w:tabs>
        <w:spacing w:after="160"/>
      </w:pPr>
      <w:r>
        <w:t xml:space="preserve">Data de emissão</w:t>
      </w:r>
      <w:r>
        <w:t xml:space="preserve"> / </w:t>
      </w:r>
      <w:r>
        <w:rPr>
          <w:i/>
          <w:iCs/>
        </w:rPr>
        <w:t xml:space="preserve">Date of issue</w:t>
      </w:r>
      <w:r>
        <w:t xml:space="preserve">: </w:t>
      </w:r>
      <w:r>
        <w:t xml:space="preserve">	</w:t>
      </w:r>
    </w:p>
    <w:p>
      <w:pPr>
        <w:keepNext/>
        <w:pBdr>
          <w:bottom w:val="single" w:color="333333" w:sz="6" w:space="2"/>
        </w:pBdr>
        <w:spacing w:after="120" w:before="260"/>
      </w:pPr>
      <w:r>
        <w:rPr>
          <w:b/>
          <w:bCs/>
          <w:sz w:val="21"/>
          <w:szCs w:val="21"/>
        </w:rPr>
        <w:t xml:space="preserve">RECEBIDO POR (SENHORIO)</w:t>
      </w:r>
      <w:r>
        <w:rPr>
          <w:b/>
          <w:bCs/>
          <w:sz w:val="21"/>
          <w:szCs w:val="21"/>
        </w:rPr>
        <w:t xml:space="preserve"> / </w:t>
      </w:r>
      <w:r>
        <w:rPr>
          <w:b/>
          <w:bCs/>
          <w:i/>
          <w:iCs/>
          <w:sz w:val="21"/>
          <w:szCs w:val="21"/>
        </w:rPr>
        <w:t xml:space="preserve">RECEIVED BY (LANDLORD)</w:t>
      </w:r>
    </w:p>
    <w:p>
      <w:pPr>
        <w:tabs>
          <w:tab w:val="right" w:pos="9746" w:leader="dot"/>
        </w:tabs>
        <w:spacing w:after="160"/>
      </w:pPr>
      <w:r>
        <w:t xml:space="preserve">Nome completo</w:t>
      </w:r>
      <w:r>
        <w:t xml:space="preserve"> / </w:t>
      </w:r>
      <w:r>
        <w:rPr>
          <w:i/>
          <w:iCs/>
        </w:rPr>
        <w:t xml:space="preserve">Full name</w:t>
      </w:r>
      <w:r>
        <w:t xml:space="preserve">: </w:t>
      </w:r>
      <w:r>
        <w:t xml:space="preserve">	</w:t>
      </w:r>
    </w:p>
    <w:p>
      <w:pPr>
        <w:tabs>
          <w:tab w:val="right" w:pos="9746" w:leader="dot"/>
        </w:tabs>
        <w:spacing w:after="160"/>
      </w:pPr>
      <w:r>
        <w:t xml:space="preserve">NIF</w:t>
      </w:r>
      <w:r>
        <w:t xml:space="preserve"> / </w:t>
      </w:r>
      <w:r>
        <w:rPr>
          <w:i/>
          <w:iCs/>
        </w:rPr>
        <w:t xml:space="preserve">Tax number (NIF)</w:t>
      </w:r>
      <w:r>
        <w:t xml:space="preserve">: </w:t>
      </w:r>
      <w:r>
        <w:t xml:space="preserve">	</w:t>
      </w:r>
    </w:p>
    <w:p>
      <w:pPr>
        <w:keepNext/>
        <w:pBdr>
          <w:bottom w:val="single" w:color="333333" w:sz="6" w:space="2"/>
        </w:pBdr>
        <w:spacing w:after="120" w:before="260"/>
      </w:pPr>
      <w:r>
        <w:rPr>
          <w:b/>
          <w:bCs/>
          <w:sz w:val="21"/>
          <w:szCs w:val="21"/>
        </w:rPr>
        <w:t xml:space="preserve">ENTREGUE POR (ARRENDATÁRIO)</w:t>
      </w:r>
      <w:r>
        <w:rPr>
          <w:b/>
          <w:bCs/>
          <w:sz w:val="21"/>
          <w:szCs w:val="21"/>
        </w:rPr>
        <w:t xml:space="preserve"> / </w:t>
      </w:r>
      <w:r>
        <w:rPr>
          <w:b/>
          <w:bCs/>
          <w:i/>
          <w:iCs/>
          <w:sz w:val="21"/>
          <w:szCs w:val="21"/>
        </w:rPr>
        <w:t xml:space="preserve">PAID BY (TENANT)</w:t>
      </w:r>
    </w:p>
    <w:p>
      <w:pPr>
        <w:tabs>
          <w:tab w:val="right" w:pos="9746" w:leader="dot"/>
        </w:tabs>
        <w:spacing w:after="160"/>
      </w:pPr>
      <w:r>
        <w:t xml:space="preserve">Nome completo</w:t>
      </w:r>
      <w:r>
        <w:t xml:space="preserve"> / </w:t>
      </w:r>
      <w:r>
        <w:rPr>
          <w:i/>
          <w:iCs/>
        </w:rPr>
        <w:t xml:space="preserve">Full name</w:t>
      </w:r>
      <w:r>
        <w:t xml:space="preserve">: </w:t>
      </w:r>
      <w:r>
        <w:t xml:space="preserve">	</w:t>
      </w:r>
    </w:p>
    <w:p>
      <w:pPr>
        <w:tabs>
          <w:tab w:val="right" w:pos="9746" w:leader="dot"/>
        </w:tabs>
        <w:spacing w:after="160"/>
      </w:pPr>
      <w:r>
        <w:t xml:space="preserve">NIF</w:t>
      </w:r>
      <w:r>
        <w:t xml:space="preserve"> / </w:t>
      </w:r>
      <w:r>
        <w:rPr>
          <w:i/>
          <w:iCs/>
        </w:rPr>
        <w:t xml:space="preserve">Tax number (NIF)</w:t>
      </w:r>
      <w:r>
        <w:t xml:space="preserve">: </w:t>
      </w:r>
      <w:r>
        <w:t xml:space="preserve">	</w:t>
      </w:r>
    </w:p>
    <w:p>
      <w:pPr>
        <w:keepNext/>
        <w:pBdr>
          <w:bottom w:val="single" w:color="333333" w:sz="6" w:space="2"/>
        </w:pBdr>
        <w:spacing w:after="120" w:before="260"/>
      </w:pPr>
      <w:r>
        <w:rPr>
          <w:b/>
          <w:bCs/>
          <w:sz w:val="21"/>
          <w:szCs w:val="21"/>
        </w:rPr>
        <w:t xml:space="preserve">IMÓVEL, CONTRATO E VALOR</w:t>
      </w:r>
      <w:r>
        <w:rPr>
          <w:b/>
          <w:bCs/>
          <w:sz w:val="21"/>
          <w:szCs w:val="21"/>
        </w:rPr>
        <w:t xml:space="preserve"> / </w:t>
      </w:r>
      <w:r>
        <w:rPr>
          <w:b/>
          <w:bCs/>
          <w:i/>
          <w:iCs/>
          <w:sz w:val="21"/>
          <w:szCs w:val="21"/>
        </w:rPr>
        <w:t xml:space="preserve">PROPERTY, LEASE AND AMOUNT</w:t>
      </w:r>
    </w:p>
    <w:p>
      <w:pPr>
        <w:tabs>
          <w:tab w:val="right" w:pos="9746" w:leader="dot"/>
        </w:tabs>
        <w:spacing w:after="160"/>
      </w:pPr>
      <w:r>
        <w:t xml:space="preserve">Morada do imóvel arrendado</w:t>
      </w:r>
      <w:r>
        <w:t xml:space="preserve"> / </w:t>
      </w:r>
      <w:r>
        <w:rPr>
          <w:i/>
          <w:iCs/>
        </w:rPr>
        <w:t xml:space="preserve">Leased property address</w:t>
      </w:r>
      <w:r>
        <w:t xml:space="preserve">: </w:t>
      </w:r>
      <w:r>
        <w:t xml:space="preserve">	</w:t>
      </w:r>
    </w:p>
    <w:p>
      <w:pPr>
        <w:tabs>
          <w:tab w:val="right" w:pos="9746" w:leader="dot"/>
        </w:tabs>
        <w:spacing w:after="160"/>
      </w:pPr>
      <w:r>
        <w:t xml:space="preserve">Data do contrato de arrendamento</w:t>
      </w:r>
      <w:r>
        <w:t xml:space="preserve"> / </w:t>
      </w:r>
      <w:r>
        <w:rPr>
          <w:i/>
          <w:iCs/>
        </w:rPr>
        <w:t xml:space="preserve">Date of the lease agreement</w:t>
      </w:r>
      <w:r>
        <w:t xml:space="preserve">: </w:t>
      </w:r>
      <w:r>
        <w:t xml:space="preserve">	</w:t>
      </w:r>
    </w:p>
    <w:p>
      <w:pPr>
        <w:tabs>
          <w:tab w:val="right" w:pos="9746" w:leader="dot"/>
        </w:tabs>
        <w:spacing w:after="160"/>
      </w:pPr>
      <w:r>
        <w:t xml:space="preserve">Renda mensal (€)</w:t>
      </w:r>
      <w:r>
        <w:t xml:space="preserve"> / </w:t>
      </w:r>
      <w:r>
        <w:rPr>
          <w:i/>
          <w:iCs/>
        </w:rPr>
        <w:t xml:space="preserve">Monthly rent (€)</w:t>
      </w:r>
      <w:r>
        <w:t xml:space="preserve">: </w:t>
      </w:r>
      <w:r>
        <w:t xml:space="preserve">	</w:t>
      </w:r>
    </w:p>
    <w:p>
      <w:pPr>
        <w:tabs>
          <w:tab w:val="right" w:pos="9746" w:leader="dot"/>
        </w:tabs>
        <w:spacing w:after="160"/>
      </w:pPr>
      <w:r>
        <w:t xml:space="preserve">Valor da caução recebida (€)</w:t>
      </w:r>
      <w:r>
        <w:t xml:space="preserve"> / </w:t>
      </w:r>
      <w:r>
        <w:rPr>
          <w:i/>
          <w:iCs/>
        </w:rPr>
        <w:t xml:space="preserve">Deposit amount received (€)</w:t>
      </w:r>
      <w:r>
        <w:t xml:space="preserve">: </w:t>
      </w:r>
      <w:r>
        <w:t xml:space="preserve">	</w:t>
      </w:r>
    </w:p>
    <w:p>
      <w:pPr>
        <w:tabs>
          <w:tab w:val="right" w:pos="9746" w:leader="dot"/>
        </w:tabs>
        <w:spacing w:after="160"/>
      </w:pPr>
      <w:r>
        <w:t xml:space="preserve">Valor por extenso</w:t>
      </w:r>
      <w:r>
        <w:t xml:space="preserve"> / </w:t>
      </w:r>
      <w:r>
        <w:rPr>
          <w:i/>
          <w:iCs/>
        </w:rPr>
        <w:t xml:space="preserve">Amount in words</w:t>
      </w:r>
      <w:r>
        <w:t xml:space="preserve">: </w:t>
      </w:r>
      <w:r>
        <w:t xml:space="preserve">	</w:t>
      </w:r>
    </w:p>
    <w:p>
      <w:pPr>
        <w:tabs>
          <w:tab w:val="right" w:pos="9746" w:leader="dot"/>
        </w:tabs>
        <w:spacing w:after="160"/>
      </w:pPr>
      <w:r>
        <w:t xml:space="preserve">Data de receção</w:t>
      </w:r>
      <w:r>
        <w:t xml:space="preserve"> / </w:t>
      </w:r>
      <w:r>
        <w:rPr>
          <w:i/>
          <w:iCs/>
        </w:rPr>
        <w:t xml:space="preserve">Date received</w:t>
      </w:r>
      <w:r>
        <w:t xml:space="preserve">: </w:t>
      </w:r>
      <w:r>
        <w:t xml:space="preserve">	</w:t>
      </w:r>
    </w:p>
    <w:p>
      <w:pPr>
        <w:spacing w:after="90"/>
        <w:ind w:left="200"/>
      </w:pPr>
      <w:r>
        <w:t xml:space="preserve">☐  </w:t>
      </w:r>
      <w:r>
        <w:t xml:space="preserve">Transferência bancária</w:t>
      </w:r>
      <w:r>
        <w:t xml:space="preserve"> / </w:t>
      </w:r>
      <w:r>
        <w:rPr>
          <w:i/>
          <w:iCs/>
        </w:rPr>
        <w:t xml:space="preserve">Bank transfer</w:t>
      </w:r>
    </w:p>
    <w:p>
      <w:pPr>
        <w:spacing w:after="90"/>
        <w:ind w:left="200"/>
      </w:pPr>
      <w:r>
        <w:t xml:space="preserve">☐  </w:t>
      </w:r>
      <w:r>
        <w:t xml:space="preserve">MB WAY</w:t>
      </w:r>
      <w:r>
        <w:t xml:space="preserve"> / </w:t>
      </w:r>
      <w:r>
        <w:rPr>
          <w:i/>
          <w:iCs/>
        </w:rPr>
        <w:t xml:space="preserve">MB WAY</w:t>
      </w:r>
    </w:p>
    <w:p>
      <w:pPr>
        <w:spacing w:after="90"/>
        <w:ind w:left="200"/>
      </w:pPr>
      <w:r>
        <w:t xml:space="preserve">☐  </w:t>
      </w:r>
      <w:r>
        <w:t xml:space="preserve">Numerário</w:t>
      </w:r>
      <w:r>
        <w:t xml:space="preserve"> / </w:t>
      </w:r>
      <w:r>
        <w:rPr>
          <w:i/>
          <w:iCs/>
        </w:rPr>
        <w:t xml:space="preserve">Cash</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O Senhorio declara ter recebido do Arrendatário a quantia acima indicada, a título de </w:t>
            </w:r>
            <w:r>
              <w:rPr>
                <w:b/>
                <w:bCs/>
              </w:rPr>
              <w:t xml:space="preserve">caução</w:t>
            </w:r>
            <w:r>
              <w:t xml:space="preserve"> do contrato de arrendamento identificado, dando por ela plena quitação. A caução garante o cumprimento das obrigações do Arrendatário, não constitui pagamento de renda e será devolvida após a cessação do contrato e a restituição do imóvel, nos termos e no prazo previstos no contrato, deduzidos apenas os montantes em dívida devidamente justificados.</w:t>
            </w:r>
          </w:p>
        </w:tc>
        <w:tc>
          <w:tcPr>
            <w:tcW w:type="pct" w:w="50%"/>
            <w:tcBorders>
              <w:top w:val="none" w:color="FFFFFF" w:sz="0"/>
              <w:left w:val="none" w:color="FFFFFF" w:sz="0"/>
              <w:bottom w:val="none" w:color="FFFFFF" w:sz="0"/>
              <w:right w:val="none" w:color="FFFFFF" w:sz="0"/>
            </w:tcBorders>
          </w:tcPr>
          <w:p>
            <w:pPr>
              <w:jc w:val="both"/>
            </w:pPr>
            <w:r>
              <w:rPr>
                <w:i/>
                <w:iCs/>
              </w:rPr>
              <w:t xml:space="preserve">The Landlord declares having received from the Tenant the amount stated above as a </w:t>
            </w:r>
            <w:r>
              <w:rPr>
                <w:b/>
                <w:bCs/>
                <w:i/>
                <w:iCs/>
              </w:rPr>
              <w:t xml:space="preserve">security deposit</w:t>
            </w:r>
            <w:r>
              <w:rPr>
                <w:i/>
                <w:iCs/>
              </w:rPr>
              <w:t xml:space="preserve"> under the lease identified, in full discharge. The deposit secures the Tenant's obligations, is not a payment of rent and will be returned after the lease ends and the property is handed back, under the terms and within the period set in the lease, less only duly justified amounts owed.</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200"/>
          <w:bottom w:type="dxa" w:w="0"/>
          <w:right w:type="dxa" w:w="200"/>
        </w:tblCellMar>
      </w:tblPr>
      <w:tblGrid>
        <w:gridCol w:w="100"/>
      </w:tblGrid>
      <w:tr>
        <w:tc>
          <w:tcPr>
            <w:tcW w:type="pct" w:w="100%"/>
            <w:tcBorders>
              <w:top w:val="none" w:color="FFFFFF" w:sz="0"/>
              <w:left w:val="none" w:color="FFFFFF" w:sz="0"/>
              <w:bottom w:val="none" w:color="FFFFFF" w:sz="0"/>
              <w:right w:val="none" w:color="FFFFFF" w:sz="0"/>
            </w:tcBorders>
          </w:tcPr>
          <w:p>
            <w:pPr>
              <w:spacing w:before="700"/>
            </w:pPr>
          </w:p>
          <w:p>
            <w:pPr>
              <w:pBdr>
                <w:top w:val="single" w:color="000000" w:sz="6" w:space="4"/>
              </w:pBdr>
              <w:jc w:val="center"/>
            </w:pPr>
            <w:r>
              <w:rPr>
                <w:sz w:val="19"/>
                <w:szCs w:val="19"/>
              </w:rPr>
              <w:t xml:space="preserve">O Senhorio</w:t>
            </w:r>
            <w:r>
              <w:rPr>
                <w:sz w:val="19"/>
                <w:szCs w:val="19"/>
              </w:rPr>
              <w:t xml:space="preserve"> / </w:t>
            </w:r>
            <w:r>
              <w:rPr>
                <w:i/>
                <w:iCs/>
                <w:sz w:val="19"/>
                <w:szCs w:val="19"/>
              </w:rPr>
              <w:t xml:space="preserve">The Landlord</w:t>
            </w:r>
          </w:p>
          <w:p>
            <w:pPr>
              <w:jc w:val="center"/>
            </w:pPr>
            <w:r>
              <w:rPr>
                <w:color w:val="555555"/>
                <w:sz w:val="16"/>
                <w:szCs w:val="16"/>
              </w:rPr>
              <w:t xml:space="preserve">(recebi)</w:t>
            </w:r>
            <w:r>
              <w:rPr>
                <w:color w:val="555555"/>
                <w:sz w:val="16"/>
                <w:szCs w:val="16"/>
              </w:rPr>
              <w:t xml:space="preserve"> / </w:t>
            </w:r>
            <w:r>
              <w:rPr>
                <w:i/>
                <w:iCs/>
                <w:color w:val="555555"/>
                <w:sz w:val="16"/>
                <w:szCs w:val="16"/>
              </w:rPr>
              <w:t xml:space="preserve">(received)</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i/>
                <w:iCs/>
                <w:color w:val="444444"/>
                <w:sz w:val="18"/>
                <w:szCs w:val="18"/>
              </w:rPr>
              <w:t xml:space="preserve">Limite legal: a caução não pode exceder o valor correspondente a duas rendas (art. 1076.º, n.º 2, do Código Civil). A lei não fixa um prazo geral de devolução: vale o que estiver acordado no contrato. Emita em duplicado — um exemplar para cada parte — e junte o comprovativo do pagamento quando exista. Consoante o enquadramento fiscal do Senhorio, a receção da caução pode ter de constar do recibo de renda eletrónico no Portal das Finanças; este recibo não substitui essa obrigação.</w:t>
            </w:r>
          </w:p>
        </w:tc>
        <w:tc>
          <w:tcPr>
            <w:tcW w:type="pct" w:w="50%"/>
            <w:tcBorders>
              <w:top w:val="none" w:color="FFFFFF" w:sz="0"/>
              <w:left w:val="none" w:color="FFFFFF" w:sz="0"/>
              <w:bottom w:val="none" w:color="FFFFFF" w:sz="0"/>
              <w:right w:val="none" w:color="FFFFFF" w:sz="0"/>
            </w:tcBorders>
          </w:tcPr>
          <w:p>
            <w:pPr>
              <w:jc w:val="both"/>
            </w:pPr>
            <w:r>
              <w:rPr>
                <w:i/>
                <w:iCs/>
                <w:color w:val="444444"/>
                <w:sz w:val="18"/>
                <w:szCs w:val="18"/>
              </w:rPr>
              <w:t xml:space="preserve">Legal limit: the deposit may not exceed an amount equal to two months' rent (art. 1076(2) of the Civil Code). The law sets no general deadline for its return: what is agreed in the lease applies. Issue in duplicate — one copy for each party — and attach the proof of payment where one exists. Depending on the Landlord's tax status, receipt of the deposit may have to appear on the electronic rent receipt on the Portal das Finanças; this receipt does not replace that obligation.</w:t>
            </w:r>
          </w:p>
        </w:tc>
      </w:tr>
    </w:tbl>
    <w:p>
      <w:pPr>
        <w:spacing w:before="240"/>
      </w:pPr>
    </w:p>
    <w:tbl>
      <w:tblPr>
        <w:tblW w:type="pct" w:w="100%"/>
        <w:tblBorders>
          <w:top w:val="single" w:color="B8C7C7" w:sz="6"/>
          <w:left w:val="single" w:color="B8C7C7" w:sz="6"/>
          <w:bottom w:val="single" w:color="B8C7C7" w:sz="6"/>
          <w:right w:val="single" w:color="B8C7C7" w:sz="6"/>
          <w:insideH w:val="none" w:color="FFFFFF" w:sz="0"/>
          <w:insideV w:val="none" w:color="FFFFFF" w:sz="0"/>
        </w:tblBorders>
        <w:tblCellMar>
          <w:top w:type="dxa" w:w="140"/>
          <w:left w:type="dxa" w:w="200"/>
          <w:bottom w:type="dxa" w:w="140"/>
          <w:right w:type="dxa" w:w="200"/>
        </w:tblCellMar>
      </w:tblPr>
      <w:tblGrid>
        <w:gridCol w:w="100"/>
      </w:tblGrid>
      <w:tr>
        <w:tc>
          <w:tcPr>
            <w:tcBorders>
              <w:top w:val="none" w:color="FFFFFF" w:sz="0"/>
              <w:left w:val="none" w:color="FFFFFF" w:sz="0"/>
              <w:bottom w:val="none" w:color="FFFFFF" w:sz="0"/>
              <w:right w:val="none" w:color="FFFFFF" w:sz="0"/>
            </w:tcBorders>
            <w:shd w:fill="F6FAFA" w:val="clear"/>
          </w:tcPr>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80"/>
                  </w:pPr>
                  <w:r>
                    <w:rPr>
                      <w:rFonts w:ascii="Arial" w:cs="Arial" w:eastAsia="Arial" w:hAnsi="Arial"/>
                      <w:b/>
                      <w:bCs/>
                      <w:color w:val="00504F"/>
                      <w:sz w:val="20"/>
                      <w:szCs w:val="20"/>
                    </w:rPr>
                    <w:t xml:space="preserve">Gira os seus arrendamentos gratuitamente na app Aluseg</w:t>
                  </w:r>
                </w:p>
                <w:p>
                  <w:pPr>
                    <w:spacing w:after="40"/>
                    <w:ind w:left="160"/>
                  </w:pPr>
                  <w:r>
                    <w:rPr>
                      <w:rFonts w:ascii="Arial" w:cs="Arial" w:eastAsia="Arial" w:hAnsi="Arial"/>
                      <w:color w:val="333333"/>
                      <w:sz w:val="17"/>
                      <w:szCs w:val="17"/>
                    </w:rPr>
                    <w:t xml:space="preserve">• Registe a caução de cada contrato e tenha o comprovativo sempre à mão</w:t>
                  </w:r>
                </w:p>
                <w:p>
                  <w:pPr>
                    <w:spacing w:after="40"/>
                    <w:ind w:left="160"/>
                  </w:pPr>
                  <w:r>
                    <w:rPr>
                      <w:rFonts w:ascii="Arial" w:cs="Arial" w:eastAsia="Arial" w:hAnsi="Arial"/>
                      <w:color w:val="333333"/>
                      <w:sz w:val="17"/>
                      <w:szCs w:val="17"/>
                    </w:rPr>
                    <w:t xml:space="preserve">• Conta gratuita — imóveis, inquilinos, contratos e documentos num só lugar</w:t>
                  </w:r>
                </w:p>
                <w:p>
                  <w:pPr>
                    <w:spacing w:after="40"/>
                    <w:ind w:left="160"/>
                  </w:pPr>
                  <w:r>
                    <w:rPr>
                      <w:rFonts w:ascii="Arial" w:cs="Arial" w:eastAsia="Arial" w:hAnsi="Arial"/>
                      <w:color w:val="333333"/>
                      <w:sz w:val="17"/>
                      <w:szCs w:val="17"/>
                    </w:rPr>
                    <w:t xml:space="preserve">• Comunicação do contrato à AT e recibos de renda eletrónicos</w:t>
                  </w:r>
                </w:p>
                <w:p>
                  <w:pPr>
                    <w:spacing w:after="40"/>
                    <w:ind w:left="160"/>
                  </w:pPr>
                  <w:r>
                    <w:rPr>
                      <w:rFonts w:ascii="Arial" w:cs="Arial" w:eastAsia="Arial" w:hAnsi="Arial"/>
                      <w:color w:val="333333"/>
                      <w:sz w:val="17"/>
                      <w:szCs w:val="17"/>
                    </w:rPr>
                    <w:t xml:space="preserve">• Atualização anual da renda calculada automaticamente (coeficiente INE)</w:t>
                  </w:r>
                </w:p>
                <w:p>
                  <w:pPr>
                    <w:spacing w:after="40"/>
                    <w:ind w:left="160"/>
                  </w:pPr>
                  <w:r>
                    <w:rPr>
                      <w:rFonts w:ascii="Arial" w:cs="Arial" w:eastAsia="Arial" w:hAnsi="Arial"/>
                      <w:color w:val="333333"/>
                      <w:sz w:val="17"/>
                      <w:szCs w:val="17"/>
                    </w:rPr>
                    <w:t xml:space="preserve">• Verificação de solvência de candidatos e avisos de prazos legais</w:t>
                  </w:r>
                </w:p>
                <w:p>
                  <w:pPr>
                    <w:spacing w:after="40" w:before="80"/>
                  </w:pPr>
                  <w:r>
                    <w:rPr>
                      <w:rFonts w:ascii="Arial" w:cs="Arial" w:eastAsia="Arial" w:hAnsi="Arial"/>
                      <w:color w:val="333333"/>
                      <w:sz w:val="17"/>
                      <w:szCs w:val="17"/>
                    </w:rPr>
                    <w:t xml:space="preserve">Crie a sua conta gratuita em </w:t>
                  </w:r>
                  <w:hyperlink w:history="1" r:id="rIdbx5ap4torr_9glz06ikjz">
                    <w:r>
                      <w:rPr>
                        <w:rFonts w:ascii="Arial" w:cs="Arial" w:eastAsia="Arial" w:hAnsi="Arial"/>
                        <w:b/>
                        <w:bCs/>
                        <w:color w:val="005869"/>
                        <w:sz w:val="17"/>
                        <w:szCs w:val="17"/>
                      </w:rPr>
                      <w:t xml:space="preserve">app.aluseg.com</w:t>
                    </w:r>
                  </w:hyperlink>
                  <w:r>
                    <w:rPr>
                      <w:rFonts w:ascii="Arial" w:cs="Arial" w:eastAsia="Arial" w:hAnsi="Arial"/>
                      <w:color w:val="333333"/>
                      <w:sz w:val="17"/>
                      <w:szCs w:val="17"/>
                    </w:rPr>
                    <w:t xml:space="preserve"> — Sem cartão de crédito · Menos de 2 minutos</w:t>
                  </w:r>
                </w:p>
              </w:tc>
              <w:tc>
                <w:tcPr>
                  <w:tcW w:type="pct" w:w="50%"/>
                  <w:tcBorders>
                    <w:top w:val="none" w:color="FFFFFF" w:sz="0"/>
                    <w:left w:val="none" w:color="FFFFFF" w:sz="0"/>
                    <w:bottom w:val="none" w:color="FFFFFF" w:sz="0"/>
                    <w:right w:val="none" w:color="FFFFFF" w:sz="0"/>
                  </w:tcBorders>
                </w:tcPr>
                <w:p>
                  <w:pPr>
                    <w:spacing w:after="80"/>
                  </w:pPr>
                  <w:r>
                    <w:rPr>
                      <w:rFonts w:ascii="Arial" w:cs="Arial" w:eastAsia="Arial" w:hAnsi="Arial"/>
                      <w:b/>
                      <w:bCs/>
                      <w:color w:val="00504F"/>
                      <w:sz w:val="20"/>
                      <w:szCs w:val="20"/>
                    </w:rPr>
                    <w:t xml:space="preserve">Manage your rentals for free with the Aluseg app</w:t>
                  </w:r>
                </w:p>
                <w:p>
                  <w:pPr>
                    <w:spacing w:after="40"/>
                    <w:ind w:left="160"/>
                  </w:pPr>
                  <w:r>
                    <w:rPr>
                      <w:rFonts w:ascii="Arial" w:cs="Arial" w:eastAsia="Arial" w:hAnsi="Arial"/>
                      <w:color w:val="333333"/>
                      <w:sz w:val="17"/>
                      <w:szCs w:val="17"/>
                    </w:rPr>
                    <w:t xml:space="preserve">• Record each lease's deposit and keep the proof at hand</w:t>
                  </w:r>
                </w:p>
                <w:p>
                  <w:pPr>
                    <w:spacing w:after="40"/>
                    <w:ind w:left="160"/>
                  </w:pPr>
                  <w:r>
                    <w:rPr>
                      <w:rFonts w:ascii="Arial" w:cs="Arial" w:eastAsia="Arial" w:hAnsi="Arial"/>
                      <w:color w:val="333333"/>
                      <w:sz w:val="17"/>
                      <w:szCs w:val="17"/>
                    </w:rPr>
                    <w:t xml:space="preserve">• Free account — properties, tenants, leases and documents in one place</w:t>
                  </w:r>
                </w:p>
                <w:p>
                  <w:pPr>
                    <w:spacing w:after="40"/>
                    <w:ind w:left="160"/>
                  </w:pPr>
                  <w:r>
                    <w:rPr>
                      <w:rFonts w:ascii="Arial" w:cs="Arial" w:eastAsia="Arial" w:hAnsi="Arial"/>
                      <w:color w:val="333333"/>
                      <w:sz w:val="17"/>
                      <w:szCs w:val="17"/>
                    </w:rPr>
                    <w:t xml:space="preserve">• Lease registration with the Tax Authority (AT) and electronic rent receipts</w:t>
                  </w:r>
                </w:p>
                <w:p>
                  <w:pPr>
                    <w:spacing w:after="40"/>
                    <w:ind w:left="160"/>
                  </w:pPr>
                  <w:r>
                    <w:rPr>
                      <w:rFonts w:ascii="Arial" w:cs="Arial" w:eastAsia="Arial" w:hAnsi="Arial"/>
                      <w:color w:val="333333"/>
                      <w:sz w:val="17"/>
                      <w:szCs w:val="17"/>
                    </w:rPr>
                    <w:t xml:space="preserve">• Annual rent update calculated automatically (INE coefficient)</w:t>
                  </w:r>
                </w:p>
                <w:p>
                  <w:pPr>
                    <w:spacing w:after="40"/>
                    <w:ind w:left="160"/>
                  </w:pPr>
                  <w:r>
                    <w:rPr>
                      <w:rFonts w:ascii="Arial" w:cs="Arial" w:eastAsia="Arial" w:hAnsi="Arial"/>
                      <w:color w:val="333333"/>
                      <w:sz w:val="17"/>
                      <w:szCs w:val="17"/>
                    </w:rPr>
                    <w:t xml:space="preserve">• Tenant screening and legal deadline reminders</w:t>
                  </w:r>
                </w:p>
                <w:p>
                  <w:pPr>
                    <w:spacing w:after="40" w:before="80"/>
                  </w:pPr>
                  <w:r>
                    <w:rPr>
                      <w:rFonts w:ascii="Arial" w:cs="Arial" w:eastAsia="Arial" w:hAnsi="Arial"/>
                      <w:color w:val="333333"/>
                      <w:sz w:val="17"/>
                      <w:szCs w:val="17"/>
                    </w:rPr>
                    <w:t xml:space="preserve">Create your free account at </w:t>
                  </w:r>
                  <w:hyperlink w:history="1" r:id="rIdaqoky-tfgjb8ia3hicdfo">
                    <w:r>
                      <w:rPr>
                        <w:rFonts w:ascii="Arial" w:cs="Arial" w:eastAsia="Arial" w:hAnsi="Arial"/>
                        <w:b/>
                        <w:bCs/>
                        <w:color w:val="005869"/>
                        <w:sz w:val="17"/>
                        <w:szCs w:val="17"/>
                      </w:rPr>
                      <w:t xml:space="preserve">app.aluseg.com</w:t>
                    </w:r>
                  </w:hyperlink>
                  <w:r>
                    <w:rPr>
                      <w:rFonts w:ascii="Arial" w:cs="Arial" w:eastAsia="Arial" w:hAnsi="Arial"/>
                      <w:color w:val="333333"/>
                      <w:sz w:val="17"/>
                      <w:szCs w:val="17"/>
                    </w:rPr>
                    <w:t xml:space="preserve"> — No credit card · Less than 2 minutes</w:t>
                  </w:r>
                </w:p>
              </w:tc>
            </w:tr>
          </w:tbl>
          <w:p>
            <w:pPr>
              <w:spacing w:before="60"/>
            </w:pPr>
            <w:r>
              <w:rPr>
                <w:rFonts w:ascii="Arial" w:cs="Arial" w:eastAsia="Arial" w:hAnsi="Arial"/>
                <w:i/>
                <w:iCs/>
                <w:color w:val="777777"/>
                <w:sz w:val="15"/>
                <w:szCs w:val="15"/>
              </w:rPr>
              <w:t xml:space="preserve">Bloco informativo — não integra o documento. / Informational block — not part of the document.</w:t>
            </w:r>
          </w:p>
        </w:tc>
      </w:tr>
    </w:tbl>
    <w:p>
      <w:pPr>
        <w:pBdr>
          <w:top w:val="single" w:color="CCCCCC" w:sz="4" w:space="4"/>
        </w:pBdr>
        <w:spacing w:before="240"/>
      </w:pPr>
      <w:r>
        <w:rPr>
          <w:rFonts w:ascii="Arial" w:cs="Arial" w:eastAsia="Arial" w:hAnsi="Arial"/>
          <w:color w:val="666666"/>
          <w:sz w:val="15"/>
          <w:szCs w:val="15"/>
        </w:rPr>
        <w:t xml:space="preserve">Gerado com Aluseg.com — modelo informativo gerado automaticamente; não dispensa aconselhamento jurídico profissional. Reveja todos os campos antes de assinar ou enviar. / Generated with Aluseg.com — informational template generated automatically; it does not replace professional legal advice. Review all fields before signing or sending. Referências legais / Legal references: Art. 1076.º, n.º 2, do Código Civil (caução até ao valor correspondente a duas rendas).</w:t>
      </w:r>
    </w:p>
    <w:sectPr>
      <w:headerReference w:type="default" r:id="rId7"/>
      <w:footerReference w:type="default" r:id="rId8"/>
      <w:pgSz w:w="11906" w:h="16838" w:orient="portrait"/>
      <w:pgMar w:top="1000" w:right="1080" w:bottom="11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4"/>
        <w:szCs w:val="14"/>
      </w:rPr>
      <w:t xml:space="preserve">Gerado com Aluseg.com — modelos gratuitos para senhorios · app.aluseg.com · </w:t>
    </w:r>
    <w:r>
      <w:rPr>
        <w:rFonts w:ascii="Arial" w:cs="Arial" w:eastAsia="Arial" w:hAnsi="Arial"/>
        <w:color w:val="888888"/>
        <w:sz w:val="14"/>
        <w:szCs w:val="14"/>
      </w:rPr>
      <w:fldChar w:fldCharType="begin"/>
      <w:instrText xml:space="preserve">PAGE</w:instrText>
      <w:fldChar w:fldCharType="separate"/>
      <w:fldChar w:fldCharType="end"/>
    </w:r>
    <w:r>
      <w:rPr>
        <w:rFonts w:ascii="Arial" w:cs="Arial" w:eastAsia="Arial" w:hAnsi="Arial"/>
        <w:color w:val="888888"/>
        <w:sz w:val="14"/>
        <w:szCs w:val="14"/>
      </w:rPr>
      <w:t xml:space="preserve">/</w:t>
    </w:r>
    <w:r>
      <w:rPr>
        <w:rFonts w:ascii="Arial" w:cs="Arial" w:eastAsia="Arial" w:hAnsi="Arial"/>
        <w:color w:val="88888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5869" w:sz="12" w:space="6"/>
      </w:pBdr>
      <w:tabs>
        <w:tab w:val="right" w:pos="9746"/>
      </w:tabs>
    </w:pPr>
    <w:r>
      <w:drawing>
        <wp:inline distT="0" distB="0" distL="0" distR="0">
          <wp:extent cx="112395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23950" cy="419100"/>
                  </a:xfrm>
                  <a:prstGeom prst="rect">
                    <a:avLst/>
                  </a:prstGeom>
                </pic:spPr>
              </pic:pic>
            </a:graphicData>
          </a:graphic>
        </wp:inline>
      </w:drawing>
    </w:r>
    <w:r>
      <w:rPr>
        <w:rFonts w:ascii="Arial" w:cs="Arial" w:eastAsia="Arial" w:hAnsi="Arial"/>
        <w:color w:val="5B6770"/>
        <w:sz w:val="14"/>
        <w:szCs w:val="14"/>
      </w:rPr>
      <w:t xml:space="preserve">	Modelos gratuitos para senhorios · aluseg.com/documentos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x5ap4torr_9glz06ikjz" Type="http://schemas.openxmlformats.org/officeDocument/2006/relationships/hyperlink" Target="https://app.aluseg.com/login?mode=signup&amp;utm_source=documento&amp;utm_medium=docx&amp;utm_campaign=recibo-de-caucao" TargetMode="External"/><Relationship Id="rIdaqoky-tfgjb8ia3hicdfo" Type="http://schemas.openxmlformats.org/officeDocument/2006/relationships/hyperlink" Target="https://app.aluseg.com/login?mode=signup&amp;utm_source=documento&amp;utm_medium=docx&amp;utm_campaign=recibo-de-caucao"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dbdbe0c4b8568ee3ca6a749cbb83f546f43ead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2026-10-12T09:19:50.718Z</dcterms:created>
  <dcterms:modified xsi:type="dcterms:W3CDTF">2026-10-12T09:19:50.718Z</dcterms:modified>
</cp:coreProperties>
</file>

<file path=docProps/custom.xml><?xml version="1.0" encoding="utf-8"?>
<Properties xmlns="http://schemas.openxmlformats.org/officeDocument/2006/custom-properties" xmlns:vt="http://schemas.openxmlformats.org/officeDocument/2006/docPropsVTypes"/>
</file>