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RECIBO DE CAUÇÃO</w:t>
      </w:r>
    </w:p>
    <w:p>
      <w:pPr>
        <w:spacing w:after="60"/>
        <w:jc w:val="center"/>
      </w:pPr>
      <w:r>
        <w:rPr>
          <w:color w:val="333333"/>
          <w:sz w:val="19"/>
          <w:szCs w:val="19"/>
        </w:rPr>
        <w:t xml:space="preserve">Arrendamento urbano — art. 1076.º, n.º 2, do Código Civil</w:t>
      </w:r>
    </w:p>
    <w:p>
      <w:pPr>
        <w:spacing w:after="160"/>
      </w:pPr>
    </w:p>
    <w:p>
      <w:pPr>
        <w:tabs>
          <w:tab w:val="right" w:pos="9746" w:leader="dot"/>
        </w:tabs>
        <w:spacing w:after="160"/>
      </w:pPr>
      <w:r>
        <w:t xml:space="preserve">Recibo n.º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de emissão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RECEBIDO POR (SENHORIO)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NIF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ENTREGUE POR (ARRENDATÁRIO)</w:t>
      </w:r>
    </w:p>
    <w:p>
      <w:pPr>
        <w:tabs>
          <w:tab w:val="right" w:pos="9746" w:leader="dot"/>
        </w:tabs>
        <w:spacing w:after="160"/>
      </w:pPr>
      <w:r>
        <w:t xml:space="preserve">Nome completo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NIF</w:t>
      </w:r>
      <w:r>
        <w:t xml:space="preserve">: </w:t>
      </w:r>
      <w:r>
        <w:t xml:space="preserve">	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IMÓVEL, CONTRATO E VALOR</w:t>
      </w:r>
    </w:p>
    <w:p>
      <w:pPr>
        <w:tabs>
          <w:tab w:val="right" w:pos="9746" w:leader="dot"/>
        </w:tabs>
        <w:spacing w:after="160"/>
      </w:pPr>
      <w:r>
        <w:t xml:space="preserve">Morada do imóvel arrendado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do contrato de arrendamento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Renda mensal (€)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Valor da caução recebida (€)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Valor por extenso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de receção</w:t>
      </w:r>
      <w:r>
        <w:t xml:space="preserve">: </w:t>
      </w:r>
      <w:r>
        <w:t xml:space="preserve">	</w:t>
      </w:r>
    </w:p>
    <w:p>
      <w:pPr>
        <w:spacing w:after="90"/>
        <w:ind w:left="200"/>
      </w:pPr>
      <w:r>
        <w:t xml:space="preserve">☐  </w:t>
      </w:r>
      <w:r>
        <w:t xml:space="preserve">Transferência bancária</w:t>
      </w:r>
    </w:p>
    <w:p>
      <w:pPr>
        <w:spacing w:after="90"/>
        <w:ind w:left="200"/>
      </w:pPr>
      <w:r>
        <w:t xml:space="preserve">☐  </w:t>
      </w:r>
      <w:r>
        <w:t xml:space="preserve">MB WAY</w:t>
      </w:r>
    </w:p>
    <w:p>
      <w:pPr>
        <w:spacing w:after="90"/>
        <w:ind w:left="200"/>
      </w:pPr>
      <w:r>
        <w:t xml:space="preserve">☐  </w:t>
      </w:r>
      <w:r>
        <w:t xml:space="preserve">Numerário</w:t>
      </w:r>
    </w:p>
    <w:p>
      <w:pPr>
        <w:spacing w:after="140"/>
        <w:jc w:val="both"/>
      </w:pPr>
      <w:r>
        <w:t xml:space="preserve">O Senhorio declara ter recebido do Arrendatário a quantia acima indicada, a título de </w:t>
      </w:r>
      <w:r>
        <w:rPr>
          <w:b/>
          <w:bCs/>
        </w:rPr>
        <w:t xml:space="preserve">caução</w:t>
      </w:r>
      <w:r>
        <w:t xml:space="preserve"> do contrato de arrendamento identificado, dando por ela plena quitação. A caução garante o cumprimento das obrigações do Arrendatário, não constitui pagamento de renda e será devolvida após a cessação do contrato e a restituição do imóvel, nos termos e no prazo previstos no contrato, deduzidos apenas os montantes em dívida devidamente justificados.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Senhorio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(recebi)</w:t>
            </w:r>
          </w:p>
        </w:tc>
      </w:tr>
    </w:tbl>
    <w:p>
      <w:pPr>
        <w:spacing w:after="140"/>
        <w:jc w:val="both"/>
      </w:pPr>
      <w:r>
        <w:rPr>
          <w:i/>
          <w:iCs/>
          <w:color w:val="444444"/>
          <w:sz w:val="18"/>
          <w:szCs w:val="18"/>
        </w:rPr>
        <w:t xml:space="preserve">Limite legal: a caução não pode exceder o valor correspondente a duas rendas (art. 1076.º, n.º 2, do Código Civil). A lei não fixa um prazo geral de devolução: vale o que estiver acordado no contrato. Emita em duplicado — um exemplar para cada parte — e junte o comprovativo do pagamento quando exista. Consoante o enquadramento fiscal do Senhorio, a receção da caução pode ter de constar do recibo de renda eletrónico no Portal das Finanças; este recibo não substitui essa obrigação.</w:t>
      </w:r>
    </w:p>
    <w:p>
      <w:pPr>
        <w:spacing w:before="240"/>
      </w:pPr>
    </w:p>
    <w:tbl>
      <w:tblPr>
        <w:tblW w:type="pct" w:w="100%"/>
        <w:tblBorders>
          <w:top w:val="single" w:color="B8C7C7" w:sz="6"/>
          <w:left w:val="single" w:color="B8C7C7" w:sz="6"/>
          <w:bottom w:val="single" w:color="B8C7C7" w:sz="6"/>
          <w:right w:val="single" w:color="B8C7C7" w:sz="6"/>
          <w:insideH w:val="none" w:color="FFFFFF" w:sz="0"/>
          <w:insideV w:val="none" w:color="FFFFFF" w:sz="0"/>
        </w:tblBorders>
        <w:tblCellMar>
          <w:top w:type="dxa" w:w="140"/>
          <w:left w:type="dxa" w:w="200"/>
          <w:bottom w:type="dxa" w:w="140"/>
          <w:right w:type="dxa" w:w="200"/>
        </w:tblCellMar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AFA" w:val="clea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</w:tblGrid>
            <w:t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Gira os seus arrendamentos gratuitamente na app Aluseg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Registe a caução de cada contrato e tenha o comprovativo sempre à mão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Conta gratuita — imóveis, inquilinos, contratos e documentos num só lugar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Comunicação do contrato à AT e recibos de renda eletrónicos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Atualização anual da renda calculada automaticamente (coeficiente INE)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Verificação de solvência de candidatos e avisos de prazos legais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Crie a sua conta gratuita em </w:t>
                  </w:r>
                  <w:hyperlink w:history="1" r:id="rIdsai5xhfnv6-nlxbjksgbf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Sem cartão de crédito · Menos de 2 minutos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777777"/>
                <w:sz w:val="15"/>
                <w:szCs w:val="15"/>
              </w:rPr>
              <w:t xml:space="preserve">Bloco informativo — não integra o documento.</w:t>
            </w:r>
          </w:p>
        </w:tc>
      </w:tr>
    </w:tbl>
    <w:p>
      <w:pPr>
        <w:pBdr>
          <w:top w:val="single" w:color="CCCCCC" w:sz="4" w:space="4"/>
        </w:pBdr>
        <w:spacing w:before="240"/>
      </w:pPr>
      <w:r>
        <w:rPr>
          <w:rFonts w:ascii="Arial" w:cs="Arial" w:eastAsia="Arial" w:hAnsi="Arial"/>
          <w:color w:val="666666"/>
          <w:sz w:val="15"/>
          <w:szCs w:val="15"/>
        </w:rPr>
        <w:t xml:space="preserve">Gerado com Aluseg.com — modelo informativo gerado automaticamente; não dispensa aconselhamento jurídico profissional. Reveja todos os campos antes de assinar ou enviar. Referências legais: Art. 1076.º, n.º 2, do Código Civil (caução até ao valor correspondente a duas rendas).</w:t>
      </w:r>
    </w:p>
    <w:sectPr>
      <w:headerReference w:type="default" r:id="rId7"/>
      <w:footerReference w:type="default" r:id="rId8"/>
      <w:pgSz w:w="11906" w:h="16838" w:orient="portrait"/>
      <w:pgMar w:top="10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Gerado com Aluseg.com — modelos gratuitos para senhorios · app.aluseg.com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/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5869" w:sz="12" w:space="6"/>
      </w:pBdr>
      <w:tabs>
        <w:tab w:val="right" w:pos="9746"/>
      </w:tabs>
    </w:pPr>
    <w:r>
      <w:drawing>
        <wp:inline distT="0" distB="0" distL="0" distR="0">
          <wp:extent cx="11239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770"/>
        <w:sz w:val="14"/>
        <w:szCs w:val="14"/>
      </w:rPr>
      <w:t xml:space="preserve">	Modelos gratuitos para senhorios · aluseg.com/documentos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sai5xhfnv6-nlxbjksgbf" Type="http://schemas.openxmlformats.org/officeDocument/2006/relationships/hyperlink" Target="https://app.aluseg.com/login?mode=signup&amp;utm_source=documento&amp;utm_medium=docx&amp;utm_campaign=recibo-de-cauca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dbe0c4b8568ee3ca6a749cbb83f546f43ea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2026-10-12T09:19:50.139Z</dcterms:created>
  <dcterms:modified xsi:type="dcterms:W3CDTF">2026-10-12T09:19:50.139Z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