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AUTO DE VISTORIA — ENTRADA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Arrendamento habitacional — art. 1043.º do Código Civil</w:t>
      </w:r>
    </w:p>
    <w:p>
      <w:pPr>
        <w:spacing w:after="160"/>
      </w:pPr>
    </w:p>
    <w:p>
      <w:pPr>
        <w:spacing w:after="140"/>
        <w:jc w:val="both"/>
      </w:pPr>
      <w:r>
        <w:t xml:space="preserve">O presente </w:t>
      </w:r>
      <w:r>
        <w:rPr>
          <w:b/>
          <w:bCs/>
        </w:rPr>
        <w:t xml:space="preserve">auto de vistoria de entrada</w:t>
      </w:r>
      <w:r>
        <w:t xml:space="preserve"> regista, divisão a divisão, o estado do imóvel no momento em que este é entregue ao Arrendatário. O artigo 1043.º, n.º 2 do Código Civil já presume que a coisa foi entregue ao locatário em bom estado de manutenção quando não exista documento onde as partes tenham descrito o estado dela ao tempo da entrega — mas essa presunção não substitui a prova do dano concreto no final do contrato. Sem um registo datado e assinado por ambos à entrada, torna-se muito difícil demonstrar o que mudou e distinguir desgaste normal de dano efetivo, o que na prática inviabiliza a retenção de valores da caução, ela própria limitada ao valor correspondente a duas rendas (artigo 1076.º, n.º 2 do Código Civil).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IDENTIFICAÇÃO DO IMÓVEL E DAS PARTES</w:t>
      </w:r>
    </w:p>
    <w:p>
      <w:pPr>
        <w:tabs>
          <w:tab w:val="right" w:pos="9746" w:leader="dot"/>
        </w:tabs>
        <w:spacing w:after="160"/>
      </w:pPr>
      <w:r>
        <w:t xml:space="preserve">Morada do imóvel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Referência do contrato de arrendamento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da vistoria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Senhorio ou representante presente (nome)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Arrendatário presente (nome)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Escala de estados utilizada nesta vistoria — </w:t>
      </w:r>
      <w:r>
        <w:rPr>
          <w:b/>
          <w:bCs/>
          <w:i/>
          <w:iCs/>
          <w:color w:val="444444"/>
          <w:sz w:val="18"/>
          <w:szCs w:val="18"/>
        </w:rPr>
        <w:t xml:space="preserve">Novo</w:t>
      </w:r>
      <w:r>
        <w:rPr>
          <w:i/>
          <w:iCs/>
          <w:color w:val="444444"/>
          <w:sz w:val="18"/>
          <w:szCs w:val="18"/>
        </w:rPr>
        <w:t xml:space="preserve">: sem uso; </w:t>
      </w:r>
      <w:r>
        <w:rPr>
          <w:b/>
          <w:bCs/>
          <w:i/>
          <w:iCs/>
          <w:color w:val="444444"/>
          <w:sz w:val="18"/>
          <w:szCs w:val="18"/>
        </w:rPr>
        <w:t xml:space="preserve">Bom</w:t>
      </w:r>
      <w:r>
        <w:rPr>
          <w:i/>
          <w:iCs/>
          <w:color w:val="444444"/>
          <w:sz w:val="18"/>
          <w:szCs w:val="18"/>
        </w:rPr>
        <w:t xml:space="preserve">: usado, sem defeitos visíveis; </w:t>
      </w:r>
      <w:r>
        <w:rPr>
          <w:b/>
          <w:bCs/>
          <w:i/>
          <w:iCs/>
          <w:color w:val="444444"/>
          <w:sz w:val="18"/>
          <w:szCs w:val="18"/>
        </w:rPr>
        <w:t xml:space="preserve">Razoável</w:t>
      </w:r>
      <w:r>
        <w:rPr>
          <w:i/>
          <w:iCs/>
          <w:color w:val="444444"/>
          <w:sz w:val="18"/>
          <w:szCs w:val="18"/>
        </w:rPr>
        <w:t xml:space="preserve">: pequenos sinais de uso que não afetam o funcionamento; </w:t>
      </w:r>
      <w:r>
        <w:rPr>
          <w:b/>
          <w:bCs/>
          <w:i/>
          <w:iCs/>
          <w:color w:val="444444"/>
          <w:sz w:val="18"/>
          <w:szCs w:val="18"/>
        </w:rPr>
        <w:t xml:space="preserve">Usado</w:t>
      </w:r>
      <w:r>
        <w:rPr>
          <w:i/>
          <w:iCs/>
          <w:color w:val="444444"/>
          <w:sz w:val="18"/>
          <w:szCs w:val="18"/>
        </w:rPr>
        <w:t xml:space="preserve">: desgaste visível compatível com uma utilização prudente; </w:t>
      </w:r>
      <w:r>
        <w:rPr>
          <w:b/>
          <w:bCs/>
          <w:i/>
          <w:iCs/>
          <w:color w:val="444444"/>
          <w:sz w:val="18"/>
          <w:szCs w:val="18"/>
        </w:rPr>
        <w:t xml:space="preserve">Danificado</w:t>
      </w:r>
      <w:r>
        <w:rPr>
          <w:i/>
          <w:iCs/>
          <w:color w:val="444444"/>
          <w:sz w:val="18"/>
          <w:szCs w:val="18"/>
        </w:rPr>
        <w:t xml:space="preserve">: defeito, avaria ou dano que exige reparação.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ESTADO DO IMÓVEL POR DIVISÃO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DIVISÃO</w:t>
            </w:r>
          </w:p>
        </w:tc>
        <w:tc>
          <w:tcPr>
            <w:tcW w:type="pct" w:w="2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5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Hall / entrada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Sala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Cozinha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Quarto 1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Quarto 2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Quarto 3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Casa de banho 1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Casa de banho 2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Varanda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Arrecadação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Garagem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Outra divisão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Outra divisão</w:t>
            </w:r>
          </w:p>
        </w:tc>
        <w:tc>
          <w:tcPr>
            <w:tcW w:type="pct" w:w="2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5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LEITURAS DE CONTADORES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CONTADOR</w:t>
            </w:r>
          </w:p>
        </w:tc>
        <w:tc>
          <w:tcPr>
            <w:tcW w:type="pct" w:w="35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N.º DO CONTADOR</w:t>
            </w:r>
          </w:p>
        </w:tc>
        <w:tc>
          <w:tcPr>
            <w:tcW w:type="pct" w:w="35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LEITURA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Eletricidade</w:t>
            </w:r>
          </w:p>
        </w:tc>
        <w:tc>
          <w:tcPr>
            <w:tcW w:type="pct" w:w="3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Gás</w:t>
            </w:r>
          </w:p>
        </w:tc>
        <w:tc>
          <w:tcPr>
            <w:tcW w:type="pct" w:w="3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Água</w:t>
            </w:r>
          </w:p>
        </w:tc>
        <w:tc>
          <w:tcPr>
            <w:tcW w:type="pct" w:w="3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CHAVES ENTREGUES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TIPO</w:t>
            </w:r>
          </w:p>
        </w:tc>
        <w:tc>
          <w:tcPr>
            <w:tcW w:type="pct" w:w="25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45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NOTAS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Chaves</w:t>
            </w:r>
          </w:p>
        </w:tc>
        <w:tc>
          <w:tcPr>
            <w:tcW w:type="pct" w:w="2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Badges</w:t>
            </w:r>
          </w:p>
        </w:tc>
        <w:tc>
          <w:tcPr>
            <w:tcW w:type="pct" w:w="2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Comandos</w:t>
            </w:r>
          </w:p>
        </w:tc>
        <w:tc>
          <w:tcPr>
            <w:tcW w:type="pct" w:w="2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Para um registo mais detalhado da entrega de chaves (por fechadura e número de cópias), pode utilizar-se em complemento o Auto de Entrega das Chaves.</w:t>
      </w:r>
    </w:p>
    <w:p>
      <w:pPr>
        <w:spacing w:after="90"/>
        <w:ind w:left="200"/>
      </w:pPr>
      <w:r>
        <w:t xml:space="preserve">☐  </w:t>
      </w:r>
      <w:r>
        <w:t xml:space="preserve">Fotografias em anexo (indicar número)</w:t>
      </w:r>
    </w:p>
    <w:p>
      <w:pPr>
        <w:spacing w:after="90"/>
        <w:ind w:left="200"/>
      </w:pPr>
      <w:r>
        <w:t xml:space="preserve">☐  </w:t>
      </w:r>
      <w:r>
        <w:t xml:space="preserve">Inventário do imóvel em anexo</w:t>
      </w:r>
    </w:p>
    <w:p>
      <w:pPr>
        <w:spacing w:after="90"/>
        <w:ind w:left="200"/>
      </w:pPr>
      <w:r>
        <w:t xml:space="preserve">☐  </w:t>
      </w:r>
      <w:r>
        <w:t xml:space="preserve">Chaves entregues nesta data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OBSERVAÇÕES GERAIS</w:t>
      </w:r>
    </w:p>
    <w:p>
      <w:pPr>
        <w:tabs>
          <w:tab w:val="right" w:pos="9746" w:leader="dot"/>
        </w:tabs>
        <w:spacing w:after="160"/>
      </w:pPr>
      <w:r>
        <w:t xml:space="preserve">1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2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3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t xml:space="preserve">Ambas as partes declaram que este auto reflete fielmente o estado do imóvel na data indicada.</w:t>
      </w:r>
    </w:p>
    <w:p>
      <w:pPr>
        <w:spacing w:after="200" w:before="300"/>
      </w:pPr>
      <w:r>
        <w:t xml:space="preserve">Feito em _____________________, aos ____ de ______________ de 20____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(ou representante)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Arrendatário</w:t>
            </w:r>
          </w:p>
        </w:tc>
      </w:tr>
    </w:tbl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Faça a vistoria diretamente no telemóvel, com fotografias por divisão e assinatura digital de ambas as partes — sem imprimir nada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5-g7kolh_g0vctri8ycme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Art. 1043.º do Código Civil (manutenção e restituição; presunção de bom estado na falta de documento descritivo); Art. 1076.º, n.º 2 do Código Civil (caução até ao valor correspondente a duas rendas).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5-g7kolh_g0vctri8ycme" Type="http://schemas.openxmlformats.org/officeDocument/2006/relationships/hyperlink" Target="https://app.aluseg.com/login?mode=signup&amp;utm_source=documento&amp;utm_medium=docx&amp;utm_campaign=vistoria-de-entrada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2026-08-15T07:59:15.774Z</dcterms:created>
  <dcterms:modified xsi:type="dcterms:W3CDTF">2026-08-15T07:59:15.774Z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