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jc w:val="center"/>
      </w:pPr>
      <w:r>
        <w:rPr>
          <w:b/>
          <w:bCs/>
          <w:sz w:val="28"/>
          <w:szCs w:val="28"/>
        </w:rPr>
        <w:t xml:space="preserve">AUTO DE VISTORIA DE SAÍDA / MOVE-OUT INSPECTION REPORT</w:t>
      </w:r>
    </w:p>
    <w:p>
      <w:pPr>
        <w:spacing w:after="60"/>
        <w:jc w:val="center"/>
      </w:pPr>
      <w:r>
        <w:rPr>
          <w:color w:val="333333"/>
          <w:sz w:val="19"/>
          <w:szCs w:val="19"/>
        </w:rPr>
        <w:t xml:space="preserve">Arrendamento habitacional — vistoria de saída e registo de danos</w:t>
      </w:r>
      <w:r>
        <w:rPr>
          <w:color w:val="333333"/>
          <w:sz w:val="19"/>
          <w:szCs w:val="19"/>
        </w:rPr>
        <w:t xml:space="preserve"> / </w:t>
      </w:r>
      <w:r>
        <w:rPr>
          <w:i/>
          <w:iCs/>
          <w:color w:val="333333"/>
          <w:sz w:val="19"/>
          <w:szCs w:val="19"/>
        </w:rPr>
        <w:t xml:space="preserve">Residential lease — move-out inspection and damage record</w:t>
      </w:r>
    </w:p>
    <w:p>
      <w:pPr>
        <w:spacing w:after="220"/>
        <w:jc w:val="center"/>
      </w:pPr>
      <w:r>
        <w:rPr>
          <w:rFonts w:ascii="Arial" w:cs="Arial" w:eastAsia="Arial" w:hAnsi="Arial"/>
          <w:i/>
          <w:iCs/>
          <w:color w:val="5B6770"/>
          <w:sz w:val="16"/>
          <w:szCs w:val="16"/>
        </w:rPr>
        <w:t xml:space="preserve">Documento bilingue: em caso de divergência, prevalece a versão portuguesa. / Bilingual document: in case of discrepancy, the Portuguese version prevails.</w:t>
      </w:r>
    </w:p>
    <w:tbl>
      <w:tblPr>
        <w:tblW w:type="pct" w:w="100%"/>
        <w:tblBorders>
          <w:top w:val="none" w:color="FFFFFF" w:sz="0"/>
          <w:left w:val="none" w:color="FFFFFF" w:sz="0"/>
          <w:bottom w:val="none" w:color="FFFFFF" w:sz="0"/>
          <w:right w:val="none" w:color="FFFFFF" w:sz="0"/>
          <w:insideH w:val="none" w:color="FFFFFF" w:sz="0"/>
          <w:insideV w:val="none" w:color="FFFFFF" w:sz="0"/>
        </w:tblBorders>
        <w:tblCellMar>
          <w:top w:type="dxa" w:w="20"/>
          <w:left w:type="dxa" w:w="0"/>
          <w:bottom w:type="dxa" w:w="60"/>
          <w:right w:type="dxa" w:w="120"/>
        </w:tblCellMar>
      </w:tblPr>
      <w:tblGrid>
        <w:gridCol w:w="100"/>
        <w:gridCol w:w="100"/>
      </w:tblGrid>
      <w:tr>
        <w:tc>
          <w:tcPr>
            <w:tcW w:type="pct" w:w="50%"/>
            <w:tcBorders>
              <w:top w:val="none" w:color="FFFFFF" w:sz="0"/>
              <w:left w:val="none" w:color="FFFFFF" w:sz="0"/>
              <w:bottom w:val="none" w:color="FFFFFF" w:sz="0"/>
              <w:right w:val="none" w:color="FFFFFF" w:sz="0"/>
            </w:tcBorders>
          </w:tcPr>
          <w:p>
            <w:pPr>
              <w:jc w:val="both"/>
            </w:pPr>
            <w:r>
              <w:t xml:space="preserve">No âmbito da cessação do contrato de arrendamento identificado abaixo, o Senhorio e o Arrendatário procedem à vistoria de saída do imóvel, registando o seu estado à data da entrega das chaves e comparando-o com o auto de vistoria de entrada. Este auto destina-se a documentar esse estado e a fundamentar eventuais deduções na caução.</w:t>
            </w:r>
          </w:p>
        </w:tc>
        <w:tc>
          <w:tcPr>
            <w:tcW w:type="pct" w:w="50%"/>
            <w:tcBorders>
              <w:top w:val="none" w:color="FFFFFF" w:sz="0"/>
              <w:left w:val="none" w:color="FFFFFF" w:sz="0"/>
              <w:bottom w:val="none" w:color="FFFFFF" w:sz="0"/>
              <w:right w:val="none" w:color="FFFFFF" w:sz="0"/>
            </w:tcBorders>
          </w:tcPr>
          <w:p>
            <w:pPr>
              <w:jc w:val="both"/>
            </w:pPr>
            <w:r>
              <w:rPr>
                <w:i/>
                <w:iCs/>
              </w:rPr>
              <w:t xml:space="preserve">As part of the termination of the lease agreement identified below, the Landlord and the Tenant carry out the move-out inspection of the property, recording its condition on the date the keys are returned and comparing it with the move-in inspection report. This report documents that condition and supports any deductions from the security deposit.</w:t>
            </w:r>
          </w:p>
        </w:tc>
      </w:tr>
    </w:tbl>
    <w:p>
      <w:pPr>
        <w:keepNext/>
        <w:pBdr>
          <w:bottom w:val="single" w:color="333333" w:sz="6" w:space="2"/>
        </w:pBdr>
        <w:spacing w:after="120" w:before="260"/>
      </w:pPr>
      <w:r>
        <w:rPr>
          <w:b/>
          <w:bCs/>
          <w:sz w:val="21"/>
          <w:szCs w:val="21"/>
        </w:rPr>
        <w:t xml:space="preserve">IDENTIFICAÇÃO</w:t>
      </w:r>
      <w:r>
        <w:rPr>
          <w:b/>
          <w:bCs/>
          <w:sz w:val="21"/>
          <w:szCs w:val="21"/>
        </w:rPr>
        <w:t xml:space="preserve"> / </w:t>
      </w:r>
      <w:r>
        <w:rPr>
          <w:b/>
          <w:bCs/>
          <w:i/>
          <w:iCs/>
          <w:sz w:val="21"/>
          <w:szCs w:val="21"/>
        </w:rPr>
        <w:t xml:space="preserve">IDENTIFICATION</w:t>
      </w:r>
    </w:p>
    <w:p>
      <w:pPr>
        <w:tabs>
          <w:tab w:val="right" w:pos="9746" w:leader="dot"/>
        </w:tabs>
        <w:spacing w:after="160"/>
      </w:pPr>
      <w:r>
        <w:t xml:space="preserve">Nome completo do Senhorio</w:t>
      </w:r>
      <w:r>
        <w:t xml:space="preserve"> / </w:t>
      </w:r>
      <w:r>
        <w:rPr>
          <w:i/>
          <w:iCs/>
        </w:rPr>
        <w:t xml:space="preserve">Landlord full name</w:t>
      </w:r>
      <w:r>
        <w:t xml:space="preserve">: </w:t>
      </w:r>
      <w:r>
        <w:t xml:space="preserve">	</w:t>
      </w:r>
    </w:p>
    <w:p>
      <w:pPr>
        <w:tabs>
          <w:tab w:val="right" w:pos="9746" w:leader="dot"/>
        </w:tabs>
        <w:spacing w:after="160"/>
      </w:pPr>
      <w:r>
        <w:t xml:space="preserve">Nome completo do Arrendatário</w:t>
      </w:r>
      <w:r>
        <w:t xml:space="preserve"> / </w:t>
      </w:r>
      <w:r>
        <w:rPr>
          <w:i/>
          <w:iCs/>
        </w:rPr>
        <w:t xml:space="preserve">Tenant full name</w:t>
      </w:r>
      <w:r>
        <w:t xml:space="preserve">: </w:t>
      </w:r>
      <w:r>
        <w:t xml:space="preserve">	</w:t>
      </w:r>
    </w:p>
    <w:p>
      <w:pPr>
        <w:tabs>
          <w:tab w:val="right" w:pos="9746" w:leader="dot"/>
        </w:tabs>
        <w:spacing w:after="160"/>
      </w:pPr>
      <w:r>
        <w:t xml:space="preserve">Imóvel (morada completa)</w:t>
      </w:r>
      <w:r>
        <w:t xml:space="preserve"> / </w:t>
      </w:r>
      <w:r>
        <w:rPr>
          <w:i/>
          <w:iCs/>
        </w:rPr>
        <w:t xml:space="preserve">Property (full address)</w:t>
      </w:r>
      <w:r>
        <w:t xml:space="preserve">: </w:t>
      </w:r>
      <w:r>
        <w:t xml:space="preserve">	</w:t>
      </w:r>
    </w:p>
    <w:p>
      <w:pPr>
        <w:tabs>
          <w:tab w:val="right" w:pos="9746" w:leader="dot"/>
        </w:tabs>
        <w:spacing w:after="160"/>
      </w:pPr>
      <w:r>
        <w:t xml:space="preserve">Referência do contrato de arrendamento</w:t>
      </w:r>
      <w:r>
        <w:t xml:space="preserve"> / </w:t>
      </w:r>
      <w:r>
        <w:rPr>
          <w:i/>
          <w:iCs/>
        </w:rPr>
        <w:t xml:space="preserve">Lease reference</w:t>
      </w:r>
      <w:r>
        <w:t xml:space="preserve">: </w:t>
      </w:r>
      <w:r>
        <w:t xml:space="preserve">	</w:t>
      </w:r>
    </w:p>
    <w:p>
      <w:pPr>
        <w:tabs>
          <w:tab w:val="right" w:pos="9746" w:leader="dot"/>
        </w:tabs>
        <w:spacing w:after="160"/>
      </w:pPr>
      <w:r>
        <w:t xml:space="preserve">Data da vistoria de saída</w:t>
      </w:r>
      <w:r>
        <w:t xml:space="preserve"> / </w:t>
      </w:r>
      <w:r>
        <w:rPr>
          <w:i/>
          <w:iCs/>
        </w:rPr>
        <w:t xml:space="preserve">Move-out inspection date</w:t>
      </w:r>
      <w:r>
        <w:t xml:space="preserve">: </w:t>
      </w:r>
      <w:r>
        <w:t xml:space="preserve">	</w:t>
      </w:r>
    </w:p>
    <w:p>
      <w:pPr>
        <w:tabs>
          <w:tab w:val="right" w:pos="9746" w:leader="dot"/>
        </w:tabs>
        <w:spacing w:after="160"/>
      </w:pPr>
      <w:r>
        <w:t xml:space="preserve">Presentes na vistoria (nomes)</w:t>
      </w:r>
      <w:r>
        <w:t xml:space="preserve"> / </w:t>
      </w:r>
      <w:r>
        <w:rPr>
          <w:i/>
          <w:iCs/>
        </w:rPr>
        <w:t xml:space="preserve">Present at the inspection (names)</w:t>
      </w:r>
      <w:r>
        <w:t xml:space="preserve">: </w:t>
      </w:r>
      <w:r>
        <w:t xml:space="preserve">	</w:t>
      </w:r>
    </w:p>
    <w:p>
      <w:pPr>
        <w:tabs>
          <w:tab w:val="right" w:pos="9746" w:leader="dot"/>
        </w:tabs>
        <w:spacing w:after="160"/>
      </w:pPr>
      <w:r>
        <w:t xml:space="preserve">Data do auto de vistoria de entrada (referência)</w:t>
      </w:r>
      <w:r>
        <w:t xml:space="preserve"> / </w:t>
      </w:r>
      <w:r>
        <w:rPr>
          <w:i/>
          <w:iCs/>
        </w:rPr>
        <w:t xml:space="preserve">Move-in inspection report date (reference)</w:t>
      </w:r>
      <w:r>
        <w:t xml:space="preserve">: </w:t>
      </w:r>
      <w:r>
        <w:t xml:space="preserve">	</w:t>
      </w:r>
    </w:p>
    <w:tbl>
      <w:tblPr>
        <w:tblW w:type="pct" w:w="100%"/>
        <w:tblBorders>
          <w:top w:val="none" w:color="FFFFFF" w:sz="0"/>
          <w:left w:val="none" w:color="FFFFFF" w:sz="0"/>
          <w:bottom w:val="none" w:color="FFFFFF" w:sz="0"/>
          <w:right w:val="none" w:color="FFFFFF" w:sz="0"/>
          <w:insideH w:val="none" w:color="FFFFFF" w:sz="0"/>
          <w:insideV w:val="none" w:color="FFFFFF" w:sz="0"/>
        </w:tblBorders>
        <w:tblCellMar>
          <w:top w:type="dxa" w:w="20"/>
          <w:left w:type="dxa" w:w="0"/>
          <w:bottom w:type="dxa" w:w="60"/>
          <w:right w:type="dxa" w:w="120"/>
        </w:tblCellMar>
      </w:tblPr>
      <w:tblGrid>
        <w:gridCol w:w="100"/>
        <w:gridCol w:w="100"/>
      </w:tblGrid>
      <w:tr>
        <w:tc>
          <w:tcPr>
            <w:tcW w:type="pct" w:w="50%"/>
            <w:tcBorders>
              <w:top w:val="none" w:color="FFFFFF" w:sz="0"/>
              <w:left w:val="none" w:color="FFFFFF" w:sz="0"/>
              <w:bottom w:val="none" w:color="FFFFFF" w:sz="0"/>
              <w:right w:val="none" w:color="FFFFFF" w:sz="0"/>
            </w:tcBorders>
          </w:tcPr>
          <w:p>
            <w:pPr>
              <w:jc w:val="both"/>
            </w:pPr>
            <w:r>
              <w:rPr>
                <w:i/>
                <w:iCs/>
                <w:color w:val="444444"/>
                <w:sz w:val="18"/>
                <w:szCs w:val="18"/>
              </w:rPr>
              <w:t xml:space="preserve">Compare este auto com o auto de vistoria de entrada. O Arrendatário é obrigado a manter e restituir o imóvel no estado em que o recebeu, ressalvadas as deteriorações inerentes a uma prudente utilização, em conformidade com os fins do contrato — pelo que só lhe são imputáveis os danos que excedam esse desgaste (art. 1043.º, n.º 1 do Código Civil). As pequenas deteriorações lícitas feitas para assegurar conforto ou comodidade devem ser reparadas pelo Arrendatário antes da restituição do prédio, salvo estipulação em contrário (art. 1073.º, n.º 2 do Código Civil).</w:t>
            </w:r>
          </w:p>
        </w:tc>
        <w:tc>
          <w:tcPr>
            <w:tcW w:type="pct" w:w="50%"/>
            <w:tcBorders>
              <w:top w:val="none" w:color="FFFFFF" w:sz="0"/>
              <w:left w:val="none" w:color="FFFFFF" w:sz="0"/>
              <w:bottom w:val="none" w:color="FFFFFF" w:sz="0"/>
              <w:right w:val="none" w:color="FFFFFF" w:sz="0"/>
            </w:tcBorders>
          </w:tcPr>
          <w:p>
            <w:pPr>
              <w:jc w:val="both"/>
            </w:pPr>
            <w:r>
              <w:rPr>
                <w:i/>
                <w:iCs/>
                <w:color w:val="444444"/>
                <w:sz w:val="18"/>
                <w:szCs w:val="18"/>
              </w:rPr>
              <w:t xml:space="preserve">Compare this report with the move-in inspection report. The Tenant must keep and return the property in the condition received, save for deterioration inherent in prudent use and consistent with the purpose of the lease — so only damage exceeding that wear is chargeable to the Tenant (Article 1043(1) of the Civil Code). Minor lawful alterations made to secure comfort or convenience must be repaired by the Tenant before the property is returned, unless otherwise agreed (Article 1073(2) of the Civil Code).</w:t>
            </w:r>
          </w:p>
        </w:tc>
      </w:tr>
    </w:tbl>
    <w:p>
      <w:pPr>
        <w:keepNext/>
        <w:pBdr>
          <w:bottom w:val="single" w:color="333333" w:sz="6" w:space="2"/>
        </w:pBdr>
        <w:spacing w:after="120" w:before="260"/>
      </w:pPr>
      <w:r>
        <w:rPr>
          <w:b/>
          <w:bCs/>
          <w:sz w:val="21"/>
          <w:szCs w:val="21"/>
        </w:rPr>
        <w:t xml:space="preserve">ESTADO DO IMÓVEL À SAÍDA, POR DIVISÃO</w:t>
      </w:r>
      <w:r>
        <w:rPr>
          <w:b/>
          <w:bCs/>
          <w:sz w:val="21"/>
          <w:szCs w:val="21"/>
        </w:rPr>
        <w:t xml:space="preserve"> / </w:t>
      </w:r>
      <w:r>
        <w:rPr>
          <w:b/>
          <w:bCs/>
          <w:i/>
          <w:iCs/>
          <w:sz w:val="21"/>
          <w:szCs w:val="21"/>
        </w:rPr>
        <w:t xml:space="preserve">PROPERTY CONDITION AT MOVE-OUT, BY ROOM</w:t>
      </w:r>
    </w:p>
    <w:tbl>
      <w:tblPr>
        <w:tblW w:type="pct" w:w="100%"/>
        <w:tblBorders>
          <w:top w:val="single" w:color="999999" w:sz="4"/>
          <w:left w:val="single" w:color="999999" w:sz="4"/>
          <w:bottom w:val="single" w:color="999999" w:sz="4"/>
          <w:right w:val="single" w:color="999999" w:sz="4"/>
          <w:insideH w:val="single" w:color="999999" w:sz="4"/>
          <w:insideV w:val="single" w:color="999999" w:sz="4"/>
        </w:tblBorders>
        <w:tblCellMar>
          <w:top w:type="dxa" w:w="60"/>
          <w:left w:type="dxa" w:w="90"/>
          <w:bottom w:type="dxa" w:w="60"/>
          <w:right w:type="dxa" w:w="90"/>
        </w:tblCellMar>
      </w:tblPr>
      <w:tblGrid>
        <w:gridCol w:w="100"/>
        <w:gridCol w:w="100"/>
        <w:gridCol w:w="100"/>
        <w:gridCol w:w="100"/>
      </w:tblGrid>
      <w:tr>
        <w:trPr>
          <w:tblHeader/>
        </w:trPr>
        <w:tc>
          <w:tcPr>
            <w:tcW w:type="pct" w:w="16%"/>
            <w:shd w:fill="F3F8F9" w:val="clear"/>
          </w:tcPr>
          <w:p>
            <w:r>
              <w:rPr>
                <w:rFonts w:ascii="Arial" w:cs="Arial" w:eastAsia="Arial" w:hAnsi="Arial"/>
                <w:b/>
                <w:bCs/>
                <w:sz w:val="16"/>
                <w:szCs w:val="16"/>
              </w:rPr>
              <w:t xml:space="preserve">DIVISÃO</w:t>
            </w:r>
            <w:r>
              <w:rPr>
                <w:rFonts w:ascii="Arial" w:cs="Arial" w:eastAsia="Arial" w:hAnsi="Arial"/>
                <w:b/>
                <w:bCs/>
                <w:sz w:val="16"/>
                <w:szCs w:val="16"/>
              </w:rPr>
              <w:t xml:space="preserve"> / </w:t>
            </w:r>
            <w:r>
              <w:rPr>
                <w:rFonts w:ascii="Arial" w:cs="Arial" w:eastAsia="Arial" w:hAnsi="Arial"/>
                <w:b/>
                <w:bCs/>
                <w:i/>
                <w:iCs/>
                <w:sz w:val="16"/>
                <w:szCs w:val="16"/>
              </w:rPr>
              <w:t xml:space="preserve">ROOM</w:t>
            </w:r>
          </w:p>
        </w:tc>
        <w:tc>
          <w:tcPr>
            <w:tcW w:type="pct" w:w="19%"/>
            <w:shd w:fill="F3F8F9" w:val="clear"/>
          </w:tcPr>
          <w:p>
            <w:r>
              <w:rPr>
                <w:rFonts w:ascii="Arial" w:cs="Arial" w:eastAsia="Arial" w:hAnsi="Arial"/>
                <w:b/>
                <w:bCs/>
                <w:sz w:val="16"/>
                <w:szCs w:val="16"/>
              </w:rPr>
              <w:t xml:space="preserve">ESTADO À SAÍDA</w:t>
            </w:r>
            <w:r>
              <w:rPr>
                <w:rFonts w:ascii="Arial" w:cs="Arial" w:eastAsia="Arial" w:hAnsi="Arial"/>
                <w:b/>
                <w:bCs/>
                <w:sz w:val="16"/>
                <w:szCs w:val="16"/>
              </w:rPr>
              <w:t xml:space="preserve"> / </w:t>
            </w:r>
            <w:r>
              <w:rPr>
                <w:rFonts w:ascii="Arial" w:cs="Arial" w:eastAsia="Arial" w:hAnsi="Arial"/>
                <w:b/>
                <w:bCs/>
                <w:i/>
                <w:iCs/>
                <w:sz w:val="16"/>
                <w:szCs w:val="16"/>
              </w:rPr>
              <w:t xml:space="preserve">CONDITION AT MOVE-OUT</w:t>
            </w:r>
          </w:p>
        </w:tc>
        <w:tc>
          <w:tcPr>
            <w:tcW w:type="pct" w:w="31%"/>
            <w:shd w:fill="F3F8F9" w:val="clear"/>
          </w:tcPr>
          <w:p>
            <w:r>
              <w:rPr>
                <w:rFonts w:ascii="Arial" w:cs="Arial" w:eastAsia="Arial" w:hAnsi="Arial"/>
                <w:b/>
                <w:bCs/>
                <w:sz w:val="16"/>
                <w:szCs w:val="16"/>
              </w:rPr>
              <w:t xml:space="preserve">DANOS VERIFICADOS (ALÉM DO DESGASTE NORMAL)</w:t>
            </w:r>
            <w:r>
              <w:rPr>
                <w:rFonts w:ascii="Arial" w:cs="Arial" w:eastAsia="Arial" w:hAnsi="Arial"/>
                <w:b/>
                <w:bCs/>
                <w:sz w:val="16"/>
                <w:szCs w:val="16"/>
              </w:rPr>
              <w:t xml:space="preserve"> / </w:t>
            </w:r>
            <w:r>
              <w:rPr>
                <w:rFonts w:ascii="Arial" w:cs="Arial" w:eastAsia="Arial" w:hAnsi="Arial"/>
                <w:b/>
                <w:bCs/>
                <w:i/>
                <w:iCs/>
                <w:sz w:val="16"/>
                <w:szCs w:val="16"/>
              </w:rPr>
              <w:t xml:space="preserve">DAMAGE FOUND (BEYOND NORMAL WEAR)</w:t>
            </w:r>
          </w:p>
        </w:tc>
        <w:tc>
          <w:tcPr>
            <w:tcW w:type="pct" w:w="34%"/>
            <w:shd w:fill="F3F8F9" w:val="clear"/>
          </w:tcPr>
          <w:p>
            <w:r>
              <w:rPr>
                <w:rFonts w:ascii="Arial" w:cs="Arial" w:eastAsia="Arial" w:hAnsi="Arial"/>
                <w:b/>
                <w:bCs/>
                <w:sz w:val="16"/>
                <w:szCs w:val="16"/>
              </w:rPr>
              <w:t xml:space="preserve">OBSERVAÇÕES</w:t>
            </w:r>
            <w:r>
              <w:rPr>
                <w:rFonts w:ascii="Arial" w:cs="Arial" w:eastAsia="Arial" w:hAnsi="Arial"/>
                <w:b/>
                <w:bCs/>
                <w:sz w:val="16"/>
                <w:szCs w:val="16"/>
              </w:rPr>
              <w:t xml:space="preserve"> / </w:t>
            </w:r>
            <w:r>
              <w:rPr>
                <w:rFonts w:ascii="Arial" w:cs="Arial" w:eastAsia="Arial" w:hAnsi="Arial"/>
                <w:b/>
                <w:bCs/>
                <w:i/>
                <w:iCs/>
                <w:sz w:val="16"/>
                <w:szCs w:val="16"/>
              </w:rPr>
              <w:t xml:space="preserve">NOTES</w:t>
            </w:r>
          </w:p>
        </w:tc>
      </w:tr>
      <w:tr>
        <w:tc>
          <w:tcPr>
            <w:tcW w:type="pct" w:w="16%"/>
          </w:tcPr>
          <w:p>
            <w:r>
              <w:rPr>
                <w:sz w:val="19"/>
                <w:szCs w:val="19"/>
              </w:rPr>
              <w:t xml:space="preserve">Hall / entrada</w:t>
            </w:r>
            <w:r>
              <w:rPr>
                <w:sz w:val="19"/>
                <w:szCs w:val="19"/>
              </w:rPr>
              <w:t xml:space="preserve"> / </w:t>
            </w:r>
            <w:r>
              <w:rPr>
                <w:i/>
                <w:iCs/>
                <w:sz w:val="19"/>
                <w:szCs w:val="19"/>
              </w:rPr>
              <w:t xml:space="preserve">Hall / entrance</w:t>
            </w:r>
          </w:p>
        </w:tc>
        <w:tc>
          <w:tcPr>
            <w:tcW w:type="pct" w:w="19%"/>
          </w:tcPr>
          <w:p>
            <w:r>
              <w:rPr>
                <w:sz w:val="19"/>
                <w:szCs w:val="19"/>
              </w:rPr>
              <w:t xml:space="preserve"> </w:t>
            </w:r>
          </w:p>
        </w:tc>
        <w:tc>
          <w:tcPr>
            <w:tcW w:type="pct" w:w="31%"/>
          </w:tcPr>
          <w:p>
            <w:r>
              <w:rPr>
                <w:sz w:val="19"/>
                <w:szCs w:val="19"/>
              </w:rPr>
              <w:t xml:space="preserve"> </w:t>
            </w:r>
          </w:p>
        </w:tc>
        <w:tc>
          <w:tcPr>
            <w:tcW w:type="pct" w:w="34%"/>
          </w:tcPr>
          <w:p>
            <w:r>
              <w:rPr>
                <w:sz w:val="19"/>
                <w:szCs w:val="19"/>
              </w:rPr>
              <w:t xml:space="preserve"> </w:t>
            </w:r>
          </w:p>
        </w:tc>
      </w:tr>
      <w:tr>
        <w:tc>
          <w:tcPr>
            <w:tcW w:type="pct" w:w="16%"/>
          </w:tcPr>
          <w:p>
            <w:r>
              <w:rPr>
                <w:sz w:val="19"/>
                <w:szCs w:val="19"/>
              </w:rPr>
              <w:t xml:space="preserve">Sala</w:t>
            </w:r>
            <w:r>
              <w:rPr>
                <w:sz w:val="19"/>
                <w:szCs w:val="19"/>
              </w:rPr>
              <w:t xml:space="preserve"> / </w:t>
            </w:r>
            <w:r>
              <w:rPr>
                <w:i/>
                <w:iCs/>
                <w:sz w:val="19"/>
                <w:szCs w:val="19"/>
              </w:rPr>
              <w:t xml:space="preserve">Living room</w:t>
            </w:r>
          </w:p>
        </w:tc>
        <w:tc>
          <w:tcPr>
            <w:tcW w:type="pct" w:w="19%"/>
          </w:tcPr>
          <w:p>
            <w:r>
              <w:rPr>
                <w:sz w:val="19"/>
                <w:szCs w:val="19"/>
              </w:rPr>
              <w:t xml:space="preserve"> </w:t>
            </w:r>
          </w:p>
        </w:tc>
        <w:tc>
          <w:tcPr>
            <w:tcW w:type="pct" w:w="31%"/>
          </w:tcPr>
          <w:p>
            <w:r>
              <w:rPr>
                <w:sz w:val="19"/>
                <w:szCs w:val="19"/>
              </w:rPr>
              <w:t xml:space="preserve"> </w:t>
            </w:r>
          </w:p>
        </w:tc>
        <w:tc>
          <w:tcPr>
            <w:tcW w:type="pct" w:w="34%"/>
          </w:tcPr>
          <w:p>
            <w:r>
              <w:rPr>
                <w:sz w:val="19"/>
                <w:szCs w:val="19"/>
              </w:rPr>
              <w:t xml:space="preserve"> </w:t>
            </w:r>
          </w:p>
        </w:tc>
      </w:tr>
      <w:tr>
        <w:tc>
          <w:tcPr>
            <w:tcW w:type="pct" w:w="16%"/>
          </w:tcPr>
          <w:p>
            <w:r>
              <w:rPr>
                <w:sz w:val="19"/>
                <w:szCs w:val="19"/>
              </w:rPr>
              <w:t xml:space="preserve">Cozinha</w:t>
            </w:r>
            <w:r>
              <w:rPr>
                <w:sz w:val="19"/>
                <w:szCs w:val="19"/>
              </w:rPr>
              <w:t xml:space="preserve"> / </w:t>
            </w:r>
            <w:r>
              <w:rPr>
                <w:i/>
                <w:iCs/>
                <w:sz w:val="19"/>
                <w:szCs w:val="19"/>
              </w:rPr>
              <w:t xml:space="preserve">Kitchen</w:t>
            </w:r>
          </w:p>
        </w:tc>
        <w:tc>
          <w:tcPr>
            <w:tcW w:type="pct" w:w="19%"/>
          </w:tcPr>
          <w:p>
            <w:r>
              <w:rPr>
                <w:sz w:val="19"/>
                <w:szCs w:val="19"/>
              </w:rPr>
              <w:t xml:space="preserve"> </w:t>
            </w:r>
          </w:p>
        </w:tc>
        <w:tc>
          <w:tcPr>
            <w:tcW w:type="pct" w:w="31%"/>
          </w:tcPr>
          <w:p>
            <w:r>
              <w:rPr>
                <w:sz w:val="19"/>
                <w:szCs w:val="19"/>
              </w:rPr>
              <w:t xml:space="preserve"> </w:t>
            </w:r>
          </w:p>
        </w:tc>
        <w:tc>
          <w:tcPr>
            <w:tcW w:type="pct" w:w="34%"/>
          </w:tcPr>
          <w:p>
            <w:r>
              <w:rPr>
                <w:sz w:val="19"/>
                <w:szCs w:val="19"/>
              </w:rPr>
              <w:t xml:space="preserve"> </w:t>
            </w:r>
          </w:p>
        </w:tc>
      </w:tr>
      <w:tr>
        <w:tc>
          <w:tcPr>
            <w:tcW w:type="pct" w:w="16%"/>
          </w:tcPr>
          <w:p>
            <w:r>
              <w:rPr>
                <w:sz w:val="19"/>
                <w:szCs w:val="19"/>
              </w:rPr>
              <w:t xml:space="preserve">Quarto 1</w:t>
            </w:r>
            <w:r>
              <w:rPr>
                <w:sz w:val="19"/>
                <w:szCs w:val="19"/>
              </w:rPr>
              <w:t xml:space="preserve"> / </w:t>
            </w:r>
            <w:r>
              <w:rPr>
                <w:i/>
                <w:iCs/>
                <w:sz w:val="19"/>
                <w:szCs w:val="19"/>
              </w:rPr>
              <w:t xml:space="preserve">Bedroom 1</w:t>
            </w:r>
          </w:p>
        </w:tc>
        <w:tc>
          <w:tcPr>
            <w:tcW w:type="pct" w:w="19%"/>
          </w:tcPr>
          <w:p>
            <w:r>
              <w:rPr>
                <w:sz w:val="19"/>
                <w:szCs w:val="19"/>
              </w:rPr>
              <w:t xml:space="preserve"> </w:t>
            </w:r>
          </w:p>
        </w:tc>
        <w:tc>
          <w:tcPr>
            <w:tcW w:type="pct" w:w="31%"/>
          </w:tcPr>
          <w:p>
            <w:r>
              <w:rPr>
                <w:sz w:val="19"/>
                <w:szCs w:val="19"/>
              </w:rPr>
              <w:t xml:space="preserve"> </w:t>
            </w:r>
          </w:p>
        </w:tc>
        <w:tc>
          <w:tcPr>
            <w:tcW w:type="pct" w:w="34%"/>
          </w:tcPr>
          <w:p>
            <w:r>
              <w:rPr>
                <w:sz w:val="19"/>
                <w:szCs w:val="19"/>
              </w:rPr>
              <w:t xml:space="preserve"> </w:t>
            </w:r>
          </w:p>
        </w:tc>
      </w:tr>
      <w:tr>
        <w:tc>
          <w:tcPr>
            <w:tcW w:type="pct" w:w="16%"/>
          </w:tcPr>
          <w:p>
            <w:r>
              <w:rPr>
                <w:sz w:val="19"/>
                <w:szCs w:val="19"/>
              </w:rPr>
              <w:t xml:space="preserve">Quarto 2</w:t>
            </w:r>
            <w:r>
              <w:rPr>
                <w:sz w:val="19"/>
                <w:szCs w:val="19"/>
              </w:rPr>
              <w:t xml:space="preserve"> / </w:t>
            </w:r>
            <w:r>
              <w:rPr>
                <w:i/>
                <w:iCs/>
                <w:sz w:val="19"/>
                <w:szCs w:val="19"/>
              </w:rPr>
              <w:t xml:space="preserve">Bedroom 2</w:t>
            </w:r>
          </w:p>
        </w:tc>
        <w:tc>
          <w:tcPr>
            <w:tcW w:type="pct" w:w="19%"/>
          </w:tcPr>
          <w:p>
            <w:r>
              <w:rPr>
                <w:sz w:val="19"/>
                <w:szCs w:val="19"/>
              </w:rPr>
              <w:t xml:space="preserve"> </w:t>
            </w:r>
          </w:p>
        </w:tc>
        <w:tc>
          <w:tcPr>
            <w:tcW w:type="pct" w:w="31%"/>
          </w:tcPr>
          <w:p>
            <w:r>
              <w:rPr>
                <w:sz w:val="19"/>
                <w:szCs w:val="19"/>
              </w:rPr>
              <w:t xml:space="preserve"> </w:t>
            </w:r>
          </w:p>
        </w:tc>
        <w:tc>
          <w:tcPr>
            <w:tcW w:type="pct" w:w="34%"/>
          </w:tcPr>
          <w:p>
            <w:r>
              <w:rPr>
                <w:sz w:val="19"/>
                <w:szCs w:val="19"/>
              </w:rPr>
              <w:t xml:space="preserve"> </w:t>
            </w:r>
          </w:p>
        </w:tc>
      </w:tr>
      <w:tr>
        <w:tc>
          <w:tcPr>
            <w:tcW w:type="pct" w:w="16%"/>
          </w:tcPr>
          <w:p>
            <w:r>
              <w:rPr>
                <w:sz w:val="19"/>
                <w:szCs w:val="19"/>
              </w:rPr>
              <w:t xml:space="preserve">Quarto 3</w:t>
            </w:r>
            <w:r>
              <w:rPr>
                <w:sz w:val="19"/>
                <w:szCs w:val="19"/>
              </w:rPr>
              <w:t xml:space="preserve"> / </w:t>
            </w:r>
            <w:r>
              <w:rPr>
                <w:i/>
                <w:iCs/>
                <w:sz w:val="19"/>
                <w:szCs w:val="19"/>
              </w:rPr>
              <w:t xml:space="preserve">Bedroom 3</w:t>
            </w:r>
          </w:p>
        </w:tc>
        <w:tc>
          <w:tcPr>
            <w:tcW w:type="pct" w:w="19%"/>
          </w:tcPr>
          <w:p>
            <w:r>
              <w:rPr>
                <w:sz w:val="19"/>
                <w:szCs w:val="19"/>
              </w:rPr>
              <w:t xml:space="preserve"> </w:t>
            </w:r>
          </w:p>
        </w:tc>
        <w:tc>
          <w:tcPr>
            <w:tcW w:type="pct" w:w="31%"/>
          </w:tcPr>
          <w:p>
            <w:r>
              <w:rPr>
                <w:sz w:val="19"/>
                <w:szCs w:val="19"/>
              </w:rPr>
              <w:t xml:space="preserve"> </w:t>
            </w:r>
          </w:p>
        </w:tc>
        <w:tc>
          <w:tcPr>
            <w:tcW w:type="pct" w:w="34%"/>
          </w:tcPr>
          <w:p>
            <w:r>
              <w:rPr>
                <w:sz w:val="19"/>
                <w:szCs w:val="19"/>
              </w:rPr>
              <w:t xml:space="preserve"> </w:t>
            </w:r>
          </w:p>
        </w:tc>
      </w:tr>
      <w:tr>
        <w:tc>
          <w:tcPr>
            <w:tcW w:type="pct" w:w="16%"/>
          </w:tcPr>
          <w:p>
            <w:r>
              <w:rPr>
                <w:sz w:val="19"/>
                <w:szCs w:val="19"/>
              </w:rPr>
              <w:t xml:space="preserve">Casa de banho 1</w:t>
            </w:r>
            <w:r>
              <w:rPr>
                <w:sz w:val="19"/>
                <w:szCs w:val="19"/>
              </w:rPr>
              <w:t xml:space="preserve"> / </w:t>
            </w:r>
            <w:r>
              <w:rPr>
                <w:i/>
                <w:iCs/>
                <w:sz w:val="19"/>
                <w:szCs w:val="19"/>
              </w:rPr>
              <w:t xml:space="preserve">Bathroom 1</w:t>
            </w:r>
          </w:p>
        </w:tc>
        <w:tc>
          <w:tcPr>
            <w:tcW w:type="pct" w:w="19%"/>
          </w:tcPr>
          <w:p>
            <w:r>
              <w:rPr>
                <w:sz w:val="19"/>
                <w:szCs w:val="19"/>
              </w:rPr>
              <w:t xml:space="preserve"> </w:t>
            </w:r>
          </w:p>
        </w:tc>
        <w:tc>
          <w:tcPr>
            <w:tcW w:type="pct" w:w="31%"/>
          </w:tcPr>
          <w:p>
            <w:r>
              <w:rPr>
                <w:sz w:val="19"/>
                <w:szCs w:val="19"/>
              </w:rPr>
              <w:t xml:space="preserve"> </w:t>
            </w:r>
          </w:p>
        </w:tc>
        <w:tc>
          <w:tcPr>
            <w:tcW w:type="pct" w:w="34%"/>
          </w:tcPr>
          <w:p>
            <w:r>
              <w:rPr>
                <w:sz w:val="19"/>
                <w:szCs w:val="19"/>
              </w:rPr>
              <w:t xml:space="preserve"> </w:t>
            </w:r>
          </w:p>
        </w:tc>
      </w:tr>
      <w:tr>
        <w:tc>
          <w:tcPr>
            <w:tcW w:type="pct" w:w="16%"/>
          </w:tcPr>
          <w:p>
            <w:r>
              <w:rPr>
                <w:sz w:val="19"/>
                <w:szCs w:val="19"/>
              </w:rPr>
              <w:t xml:space="preserve">Casa de banho 2</w:t>
            </w:r>
            <w:r>
              <w:rPr>
                <w:sz w:val="19"/>
                <w:szCs w:val="19"/>
              </w:rPr>
              <w:t xml:space="preserve"> / </w:t>
            </w:r>
            <w:r>
              <w:rPr>
                <w:i/>
                <w:iCs/>
                <w:sz w:val="19"/>
                <w:szCs w:val="19"/>
              </w:rPr>
              <w:t xml:space="preserve">Bathroom 2</w:t>
            </w:r>
          </w:p>
        </w:tc>
        <w:tc>
          <w:tcPr>
            <w:tcW w:type="pct" w:w="19%"/>
          </w:tcPr>
          <w:p>
            <w:r>
              <w:rPr>
                <w:sz w:val="19"/>
                <w:szCs w:val="19"/>
              </w:rPr>
              <w:t xml:space="preserve"> </w:t>
            </w:r>
          </w:p>
        </w:tc>
        <w:tc>
          <w:tcPr>
            <w:tcW w:type="pct" w:w="31%"/>
          </w:tcPr>
          <w:p>
            <w:r>
              <w:rPr>
                <w:sz w:val="19"/>
                <w:szCs w:val="19"/>
              </w:rPr>
              <w:t xml:space="preserve"> </w:t>
            </w:r>
          </w:p>
        </w:tc>
        <w:tc>
          <w:tcPr>
            <w:tcW w:type="pct" w:w="34%"/>
          </w:tcPr>
          <w:p>
            <w:r>
              <w:rPr>
                <w:sz w:val="19"/>
                <w:szCs w:val="19"/>
              </w:rPr>
              <w:t xml:space="preserve"> </w:t>
            </w:r>
          </w:p>
        </w:tc>
      </w:tr>
      <w:tr>
        <w:tc>
          <w:tcPr>
            <w:tcW w:type="pct" w:w="16%"/>
          </w:tcPr>
          <w:p>
            <w:r>
              <w:rPr>
                <w:sz w:val="19"/>
                <w:szCs w:val="19"/>
              </w:rPr>
              <w:t xml:space="preserve">Varanda</w:t>
            </w:r>
            <w:r>
              <w:rPr>
                <w:sz w:val="19"/>
                <w:szCs w:val="19"/>
              </w:rPr>
              <w:t xml:space="preserve"> / </w:t>
            </w:r>
            <w:r>
              <w:rPr>
                <w:i/>
                <w:iCs/>
                <w:sz w:val="19"/>
                <w:szCs w:val="19"/>
              </w:rPr>
              <w:t xml:space="preserve">Balcony</w:t>
            </w:r>
          </w:p>
        </w:tc>
        <w:tc>
          <w:tcPr>
            <w:tcW w:type="pct" w:w="19%"/>
          </w:tcPr>
          <w:p>
            <w:r>
              <w:rPr>
                <w:sz w:val="19"/>
                <w:szCs w:val="19"/>
              </w:rPr>
              <w:t xml:space="preserve"> </w:t>
            </w:r>
          </w:p>
        </w:tc>
        <w:tc>
          <w:tcPr>
            <w:tcW w:type="pct" w:w="31%"/>
          </w:tcPr>
          <w:p>
            <w:r>
              <w:rPr>
                <w:sz w:val="19"/>
                <w:szCs w:val="19"/>
              </w:rPr>
              <w:t xml:space="preserve"> </w:t>
            </w:r>
          </w:p>
        </w:tc>
        <w:tc>
          <w:tcPr>
            <w:tcW w:type="pct" w:w="34%"/>
          </w:tcPr>
          <w:p>
            <w:r>
              <w:rPr>
                <w:sz w:val="19"/>
                <w:szCs w:val="19"/>
              </w:rPr>
              <w:t xml:space="preserve"> </w:t>
            </w:r>
          </w:p>
        </w:tc>
      </w:tr>
      <w:tr>
        <w:tc>
          <w:tcPr>
            <w:tcW w:type="pct" w:w="16%"/>
          </w:tcPr>
          <w:p>
            <w:r>
              <w:rPr>
                <w:sz w:val="19"/>
                <w:szCs w:val="19"/>
              </w:rPr>
              <w:t xml:space="preserve">Arrecadação</w:t>
            </w:r>
            <w:r>
              <w:rPr>
                <w:sz w:val="19"/>
                <w:szCs w:val="19"/>
              </w:rPr>
              <w:t xml:space="preserve"> / </w:t>
            </w:r>
            <w:r>
              <w:rPr>
                <w:i/>
                <w:iCs/>
                <w:sz w:val="19"/>
                <w:szCs w:val="19"/>
              </w:rPr>
              <w:t xml:space="preserve">Storage</w:t>
            </w:r>
          </w:p>
        </w:tc>
        <w:tc>
          <w:tcPr>
            <w:tcW w:type="pct" w:w="19%"/>
          </w:tcPr>
          <w:p>
            <w:r>
              <w:rPr>
                <w:sz w:val="19"/>
                <w:szCs w:val="19"/>
              </w:rPr>
              <w:t xml:space="preserve"> </w:t>
            </w:r>
          </w:p>
        </w:tc>
        <w:tc>
          <w:tcPr>
            <w:tcW w:type="pct" w:w="31%"/>
          </w:tcPr>
          <w:p>
            <w:r>
              <w:rPr>
                <w:sz w:val="19"/>
                <w:szCs w:val="19"/>
              </w:rPr>
              <w:t xml:space="preserve"> </w:t>
            </w:r>
          </w:p>
        </w:tc>
        <w:tc>
          <w:tcPr>
            <w:tcW w:type="pct" w:w="34%"/>
          </w:tcPr>
          <w:p>
            <w:r>
              <w:rPr>
                <w:sz w:val="19"/>
                <w:szCs w:val="19"/>
              </w:rPr>
              <w:t xml:space="preserve"> </w:t>
            </w:r>
          </w:p>
        </w:tc>
      </w:tr>
      <w:tr>
        <w:tc>
          <w:tcPr>
            <w:tcW w:type="pct" w:w="16%"/>
          </w:tcPr>
          <w:p>
            <w:r>
              <w:rPr>
                <w:sz w:val="19"/>
                <w:szCs w:val="19"/>
              </w:rPr>
              <w:t xml:space="preserve">Garagem</w:t>
            </w:r>
            <w:r>
              <w:rPr>
                <w:sz w:val="19"/>
                <w:szCs w:val="19"/>
              </w:rPr>
              <w:t xml:space="preserve"> / </w:t>
            </w:r>
            <w:r>
              <w:rPr>
                <w:i/>
                <w:iCs/>
                <w:sz w:val="19"/>
                <w:szCs w:val="19"/>
              </w:rPr>
              <w:t xml:space="preserve">Garage</w:t>
            </w:r>
          </w:p>
        </w:tc>
        <w:tc>
          <w:tcPr>
            <w:tcW w:type="pct" w:w="19%"/>
          </w:tcPr>
          <w:p>
            <w:r>
              <w:rPr>
                <w:sz w:val="19"/>
                <w:szCs w:val="19"/>
              </w:rPr>
              <w:t xml:space="preserve"> </w:t>
            </w:r>
          </w:p>
        </w:tc>
        <w:tc>
          <w:tcPr>
            <w:tcW w:type="pct" w:w="31%"/>
          </w:tcPr>
          <w:p>
            <w:r>
              <w:rPr>
                <w:sz w:val="19"/>
                <w:szCs w:val="19"/>
              </w:rPr>
              <w:t xml:space="preserve"> </w:t>
            </w:r>
          </w:p>
        </w:tc>
        <w:tc>
          <w:tcPr>
            <w:tcW w:type="pct" w:w="34%"/>
          </w:tcPr>
          <w:p>
            <w:r>
              <w:rPr>
                <w:sz w:val="19"/>
                <w:szCs w:val="19"/>
              </w:rPr>
              <w:t xml:space="preserve"> </w:t>
            </w:r>
          </w:p>
        </w:tc>
      </w:tr>
      <w:tr>
        <w:tc>
          <w:tcPr>
            <w:tcW w:type="pct" w:w="16%"/>
          </w:tcPr>
          <w:p>
            <w:r>
              <w:rPr>
                <w:sz w:val="19"/>
                <w:szCs w:val="19"/>
              </w:rPr>
              <w:t xml:space="preserve"> </w:t>
            </w:r>
          </w:p>
        </w:tc>
        <w:tc>
          <w:tcPr>
            <w:tcW w:type="pct" w:w="19%"/>
          </w:tcPr>
          <w:p>
            <w:r>
              <w:rPr>
                <w:sz w:val="19"/>
                <w:szCs w:val="19"/>
              </w:rPr>
              <w:t xml:space="preserve"> </w:t>
            </w:r>
          </w:p>
        </w:tc>
        <w:tc>
          <w:tcPr>
            <w:tcW w:type="pct" w:w="31%"/>
          </w:tcPr>
          <w:p>
            <w:r>
              <w:rPr>
                <w:sz w:val="19"/>
                <w:szCs w:val="19"/>
              </w:rPr>
              <w:t xml:space="preserve"> </w:t>
            </w:r>
          </w:p>
        </w:tc>
        <w:tc>
          <w:tcPr>
            <w:tcW w:type="pct" w:w="34%"/>
          </w:tcPr>
          <w:p>
            <w:r>
              <w:rPr>
                <w:sz w:val="19"/>
                <w:szCs w:val="19"/>
              </w:rPr>
              <w:t xml:space="preserve"> </w:t>
            </w:r>
          </w:p>
        </w:tc>
      </w:tr>
      <w:tr>
        <w:tc>
          <w:tcPr>
            <w:tcW w:type="pct" w:w="16%"/>
          </w:tcPr>
          <w:p>
            <w:r>
              <w:rPr>
                <w:sz w:val="19"/>
                <w:szCs w:val="19"/>
              </w:rPr>
              <w:t xml:space="preserve"> </w:t>
            </w:r>
          </w:p>
        </w:tc>
        <w:tc>
          <w:tcPr>
            <w:tcW w:type="pct" w:w="19%"/>
          </w:tcPr>
          <w:p>
            <w:r>
              <w:rPr>
                <w:sz w:val="19"/>
                <w:szCs w:val="19"/>
              </w:rPr>
              <w:t xml:space="preserve"> </w:t>
            </w:r>
          </w:p>
        </w:tc>
        <w:tc>
          <w:tcPr>
            <w:tcW w:type="pct" w:w="31%"/>
          </w:tcPr>
          <w:p>
            <w:r>
              <w:rPr>
                <w:sz w:val="19"/>
                <w:szCs w:val="19"/>
              </w:rPr>
              <w:t xml:space="preserve"> </w:t>
            </w:r>
          </w:p>
        </w:tc>
        <w:tc>
          <w:tcPr>
            <w:tcW w:type="pct" w:w="34%"/>
          </w:tcPr>
          <w:p>
            <w:r>
              <w:rPr>
                <w:sz w:val="19"/>
                <w:szCs w:val="19"/>
              </w:rPr>
              <w:t xml:space="preserve"> </w:t>
            </w:r>
          </w:p>
        </w:tc>
      </w:tr>
    </w:tbl>
    <w:p>
      <w:pPr>
        <w:spacing w:after="60"/>
      </w:pPr>
    </w:p>
    <w:p>
      <w:pPr>
        <w:keepNext/>
        <w:pBdr>
          <w:bottom w:val="single" w:color="333333" w:sz="6" w:space="2"/>
        </w:pBdr>
        <w:spacing w:after="120" w:before="260"/>
      </w:pPr>
      <w:r>
        <w:rPr>
          <w:b/>
          <w:bCs/>
          <w:sz w:val="21"/>
          <w:szCs w:val="21"/>
        </w:rPr>
        <w:t xml:space="preserve">CONTADORES — LEITURAS FINAIS</w:t>
      </w:r>
      <w:r>
        <w:rPr>
          <w:b/>
          <w:bCs/>
          <w:sz w:val="21"/>
          <w:szCs w:val="21"/>
        </w:rPr>
        <w:t xml:space="preserve"> / </w:t>
      </w:r>
      <w:r>
        <w:rPr>
          <w:b/>
          <w:bCs/>
          <w:i/>
          <w:iCs/>
          <w:sz w:val="21"/>
          <w:szCs w:val="21"/>
        </w:rPr>
        <w:t xml:space="preserve">METERS — FINAL READINGS</w:t>
      </w:r>
    </w:p>
    <w:p>
      <w:pPr>
        <w:tabs>
          <w:tab w:val="right" w:pos="9746" w:leader="dot"/>
        </w:tabs>
        <w:spacing w:after="160"/>
      </w:pPr>
      <w:r>
        <w:t xml:space="preserve">Eletricidade (leitura final)</w:t>
      </w:r>
      <w:r>
        <w:t xml:space="preserve"> / </w:t>
      </w:r>
      <w:r>
        <w:rPr>
          <w:i/>
          <w:iCs/>
        </w:rPr>
        <w:t xml:space="preserve">Electricity (final reading)</w:t>
      </w:r>
      <w:r>
        <w:t xml:space="preserve">: </w:t>
      </w:r>
      <w:r>
        <w:t xml:space="preserve">	</w:t>
      </w:r>
    </w:p>
    <w:p>
      <w:pPr>
        <w:tabs>
          <w:tab w:val="right" w:pos="9746" w:leader="dot"/>
        </w:tabs>
        <w:spacing w:after="160"/>
      </w:pPr>
      <w:r>
        <w:t xml:space="preserve">Gás (leitura final)</w:t>
      </w:r>
      <w:r>
        <w:t xml:space="preserve"> / </w:t>
      </w:r>
      <w:r>
        <w:rPr>
          <w:i/>
          <w:iCs/>
        </w:rPr>
        <w:t xml:space="preserve">Gas (final reading)</w:t>
      </w:r>
      <w:r>
        <w:t xml:space="preserve">: </w:t>
      </w:r>
      <w:r>
        <w:t xml:space="preserve">	</w:t>
      </w:r>
    </w:p>
    <w:p>
      <w:pPr>
        <w:tabs>
          <w:tab w:val="right" w:pos="9746" w:leader="dot"/>
        </w:tabs>
        <w:spacing w:after="160"/>
      </w:pPr>
      <w:r>
        <w:t xml:space="preserve">Água (leitura final)</w:t>
      </w:r>
      <w:r>
        <w:t xml:space="preserve"> / </w:t>
      </w:r>
      <w:r>
        <w:rPr>
          <w:i/>
          <w:iCs/>
        </w:rPr>
        <w:t xml:space="preserve">Water (final reading)</w:t>
      </w:r>
      <w:r>
        <w:t xml:space="preserve">: </w:t>
      </w:r>
      <w:r>
        <w:t xml:space="preserve">	</w:t>
      </w:r>
    </w:p>
    <w:p>
      <w:pPr>
        <w:keepNext/>
        <w:pBdr>
          <w:bottom w:val="single" w:color="333333" w:sz="6" w:space="2"/>
        </w:pBdr>
        <w:spacing w:after="120" w:before="260"/>
      </w:pPr>
      <w:r>
        <w:rPr>
          <w:b/>
          <w:bCs/>
          <w:sz w:val="21"/>
          <w:szCs w:val="21"/>
        </w:rPr>
        <w:t xml:space="preserve">CHAVES E ACESSOS DEVOLVIDOS</w:t>
      </w:r>
      <w:r>
        <w:rPr>
          <w:b/>
          <w:bCs/>
          <w:sz w:val="21"/>
          <w:szCs w:val="21"/>
        </w:rPr>
        <w:t xml:space="preserve"> / </w:t>
      </w:r>
      <w:r>
        <w:rPr>
          <w:b/>
          <w:bCs/>
          <w:i/>
          <w:iCs/>
          <w:sz w:val="21"/>
          <w:szCs w:val="21"/>
        </w:rPr>
        <w:t xml:space="preserve">KEYS AND ACCESS DEVICES RETURNED</w:t>
      </w:r>
    </w:p>
    <w:p>
      <w:pPr>
        <w:spacing w:after="90"/>
        <w:ind w:left="200"/>
      </w:pPr>
      <w:r>
        <w:t xml:space="preserve">☐  </w:t>
      </w:r>
      <w:r>
        <w:t xml:space="preserve">Todas as chaves devolvidas</w:t>
      </w:r>
      <w:r>
        <w:t xml:space="preserve"> / </w:t>
      </w:r>
      <w:r>
        <w:rPr>
          <w:i/>
          <w:iCs/>
        </w:rPr>
        <w:t xml:space="preserve">All keys returned</w:t>
      </w:r>
    </w:p>
    <w:p>
      <w:pPr>
        <w:spacing w:after="90"/>
        <w:ind w:left="200"/>
      </w:pPr>
      <w:r>
        <w:t xml:space="preserve">☐  </w:t>
      </w:r>
      <w:r>
        <w:t xml:space="preserve">Cartões / badges devolvidos</w:t>
      </w:r>
      <w:r>
        <w:t xml:space="preserve"> / </w:t>
      </w:r>
      <w:r>
        <w:rPr>
          <w:i/>
          <w:iCs/>
        </w:rPr>
        <w:t xml:space="preserve">Cards / badges returned</w:t>
      </w:r>
    </w:p>
    <w:p>
      <w:pPr>
        <w:spacing w:after="90"/>
        <w:ind w:left="200"/>
      </w:pPr>
      <w:r>
        <w:t xml:space="preserve">☐  </w:t>
      </w:r>
      <w:r>
        <w:t xml:space="preserve">Comandos devolvidos</w:t>
      </w:r>
      <w:r>
        <w:t xml:space="preserve"> / </w:t>
      </w:r>
      <w:r>
        <w:rPr>
          <w:i/>
          <w:iCs/>
        </w:rPr>
        <w:t xml:space="preserve">Remote controls returned</w:t>
      </w:r>
    </w:p>
    <w:p>
      <w:pPr>
        <w:spacing w:after="90"/>
        <w:ind w:left="200"/>
      </w:pPr>
      <w:r>
        <w:t xml:space="preserve">☐  </w:t>
      </w:r>
      <w:r>
        <w:t xml:space="preserve">Códigos de acesso comunicados</w:t>
      </w:r>
      <w:r>
        <w:t xml:space="preserve"> / </w:t>
      </w:r>
      <w:r>
        <w:rPr>
          <w:i/>
          <w:iCs/>
        </w:rPr>
        <w:t xml:space="preserve">Access codes disclosed</w:t>
      </w:r>
    </w:p>
    <w:tbl>
      <w:tblPr>
        <w:tblW w:type="pct" w:w="100%"/>
        <w:tblBorders>
          <w:top w:val="none" w:color="FFFFFF" w:sz="0"/>
          <w:left w:val="none" w:color="FFFFFF" w:sz="0"/>
          <w:bottom w:val="none" w:color="FFFFFF" w:sz="0"/>
          <w:right w:val="none" w:color="FFFFFF" w:sz="0"/>
          <w:insideH w:val="none" w:color="FFFFFF" w:sz="0"/>
          <w:insideV w:val="none" w:color="FFFFFF" w:sz="0"/>
        </w:tblBorders>
        <w:tblCellMar>
          <w:top w:type="dxa" w:w="20"/>
          <w:left w:type="dxa" w:w="0"/>
          <w:bottom w:type="dxa" w:w="60"/>
          <w:right w:type="dxa" w:w="120"/>
        </w:tblCellMar>
      </w:tblPr>
      <w:tblGrid>
        <w:gridCol w:w="100"/>
        <w:gridCol w:w="100"/>
      </w:tblGrid>
      <w:tr>
        <w:tc>
          <w:tcPr>
            <w:tcW w:type="pct" w:w="50%"/>
            <w:tcBorders>
              <w:top w:val="none" w:color="FFFFFF" w:sz="0"/>
              <w:left w:val="none" w:color="FFFFFF" w:sz="0"/>
              <w:bottom w:val="none" w:color="FFFFFF" w:sz="0"/>
              <w:right w:val="none" w:color="FFFFFF" w:sz="0"/>
            </w:tcBorders>
          </w:tcPr>
          <w:p>
            <w:pPr>
              <w:jc w:val="both"/>
            </w:pPr>
            <w:r>
              <w:rPr>
                <w:i/>
                <w:iCs/>
                <w:color w:val="444444"/>
                <w:sz w:val="18"/>
                <w:szCs w:val="18"/>
              </w:rPr>
              <w:t xml:space="preserve">Para o registo detalhado da entrega — número de cópias, portas correspondentes e assinatura de receção — utilize o Auto de Entrega das Chaves da Aluseg.</w:t>
            </w:r>
          </w:p>
        </w:tc>
        <w:tc>
          <w:tcPr>
            <w:tcW w:type="pct" w:w="50%"/>
            <w:tcBorders>
              <w:top w:val="none" w:color="FFFFFF" w:sz="0"/>
              <w:left w:val="none" w:color="FFFFFF" w:sz="0"/>
              <w:bottom w:val="none" w:color="FFFFFF" w:sz="0"/>
              <w:right w:val="none" w:color="FFFFFF" w:sz="0"/>
            </w:tcBorders>
          </w:tcPr>
          <w:p>
            <w:pPr>
              <w:jc w:val="both"/>
            </w:pPr>
            <w:r>
              <w:rPr>
                <w:i/>
                <w:iCs/>
                <w:color w:val="444444"/>
                <w:sz w:val="18"/>
                <w:szCs w:val="18"/>
              </w:rPr>
              <w:t xml:space="preserve">For a detailed handover record — number of copies, matching doors and a signed receipt — use the Aluseg Key Handover Report.</w:t>
            </w:r>
          </w:p>
        </w:tc>
      </w:tr>
    </w:tbl>
    <w:p>
      <w:pPr>
        <w:keepNext/>
        <w:pBdr>
          <w:bottom w:val="single" w:color="333333" w:sz="6" w:space="2"/>
        </w:pBdr>
        <w:spacing w:after="120" w:before="260"/>
      </w:pPr>
      <w:r>
        <w:rPr>
          <w:b/>
          <w:bCs/>
          <w:sz w:val="21"/>
          <w:szCs w:val="21"/>
        </w:rPr>
        <w:t xml:space="preserve">DANOS E RESSARCIMENTO</w:t>
      </w:r>
      <w:r>
        <w:rPr>
          <w:b/>
          <w:bCs/>
          <w:sz w:val="21"/>
          <w:szCs w:val="21"/>
        </w:rPr>
        <w:t xml:space="preserve"> / </w:t>
      </w:r>
      <w:r>
        <w:rPr>
          <w:b/>
          <w:bCs/>
          <w:i/>
          <w:iCs/>
          <w:sz w:val="21"/>
          <w:szCs w:val="21"/>
        </w:rPr>
        <w:t xml:space="preserve">DAMAGE AND COMPENSATION</w:t>
      </w:r>
    </w:p>
    <w:tbl>
      <w:tblPr>
        <w:tblW w:type="pct" w:w="100%"/>
        <w:tblBorders>
          <w:top w:val="single" w:color="999999" w:sz="4"/>
          <w:left w:val="single" w:color="999999" w:sz="4"/>
          <w:bottom w:val="single" w:color="999999" w:sz="4"/>
          <w:right w:val="single" w:color="999999" w:sz="4"/>
          <w:insideH w:val="single" w:color="999999" w:sz="4"/>
          <w:insideV w:val="single" w:color="999999" w:sz="4"/>
        </w:tblBorders>
        <w:tblCellMar>
          <w:top w:type="dxa" w:w="60"/>
          <w:left w:type="dxa" w:w="90"/>
          <w:bottom w:type="dxa" w:w="60"/>
          <w:right w:type="dxa" w:w="90"/>
        </w:tblCellMar>
      </w:tblPr>
      <w:tblGrid>
        <w:gridCol w:w="100"/>
        <w:gridCol w:w="100"/>
        <w:gridCol w:w="100"/>
      </w:tblGrid>
      <w:tr>
        <w:trPr>
          <w:tblHeader/>
        </w:trPr>
        <w:tc>
          <w:tcPr>
            <w:tcW w:type="pct" w:w="38%"/>
            <w:shd w:fill="F3F8F9" w:val="clear"/>
          </w:tcPr>
          <w:p>
            <w:r>
              <w:rPr>
                <w:rFonts w:ascii="Arial" w:cs="Arial" w:eastAsia="Arial" w:hAnsi="Arial"/>
                <w:b/>
                <w:bCs/>
                <w:sz w:val="16"/>
                <w:szCs w:val="16"/>
              </w:rPr>
              <w:t xml:space="preserve">DANO</w:t>
            </w:r>
            <w:r>
              <w:rPr>
                <w:rFonts w:ascii="Arial" w:cs="Arial" w:eastAsia="Arial" w:hAnsi="Arial"/>
                <w:b/>
                <w:bCs/>
                <w:sz w:val="16"/>
                <w:szCs w:val="16"/>
              </w:rPr>
              <w:t xml:space="preserve"> / </w:t>
            </w:r>
            <w:r>
              <w:rPr>
                <w:rFonts w:ascii="Arial" w:cs="Arial" w:eastAsia="Arial" w:hAnsi="Arial"/>
                <w:b/>
                <w:bCs/>
                <w:i/>
                <w:iCs/>
                <w:sz w:val="16"/>
                <w:szCs w:val="16"/>
              </w:rPr>
              <w:t xml:space="preserve">DAMAGE</w:t>
            </w:r>
          </w:p>
        </w:tc>
        <w:tc>
          <w:tcPr>
            <w:tcW w:type="pct" w:w="24%"/>
            <w:shd w:fill="F3F8F9" w:val="clear"/>
          </w:tcPr>
          <w:p>
            <w:r>
              <w:rPr>
                <w:rFonts w:ascii="Arial" w:cs="Arial" w:eastAsia="Arial" w:hAnsi="Arial"/>
                <w:b/>
                <w:bCs/>
                <w:sz w:val="16"/>
                <w:szCs w:val="16"/>
              </w:rPr>
              <w:t xml:space="preserve">DIVISÃO</w:t>
            </w:r>
            <w:r>
              <w:rPr>
                <w:rFonts w:ascii="Arial" w:cs="Arial" w:eastAsia="Arial" w:hAnsi="Arial"/>
                <w:b/>
                <w:bCs/>
                <w:sz w:val="16"/>
                <w:szCs w:val="16"/>
              </w:rPr>
              <w:t xml:space="preserve"> / </w:t>
            </w:r>
            <w:r>
              <w:rPr>
                <w:rFonts w:ascii="Arial" w:cs="Arial" w:eastAsia="Arial" w:hAnsi="Arial"/>
                <w:b/>
                <w:bCs/>
                <w:i/>
                <w:iCs/>
                <w:sz w:val="16"/>
                <w:szCs w:val="16"/>
              </w:rPr>
              <w:t xml:space="preserve">ROOM</w:t>
            </w:r>
          </w:p>
        </w:tc>
        <w:tc>
          <w:tcPr>
            <w:tcW w:type="pct" w:w="38%"/>
            <w:shd w:fill="F3F8F9" w:val="clear"/>
          </w:tcPr>
          <w:p>
            <w:r>
              <w:rPr>
                <w:rFonts w:ascii="Arial" w:cs="Arial" w:eastAsia="Arial" w:hAnsi="Arial"/>
                <w:b/>
                <w:bCs/>
                <w:sz w:val="16"/>
                <w:szCs w:val="16"/>
              </w:rPr>
              <w:t xml:space="preserve">ESTIMATIVA / ORÇAMENTO (€)</w:t>
            </w:r>
            <w:r>
              <w:rPr>
                <w:rFonts w:ascii="Arial" w:cs="Arial" w:eastAsia="Arial" w:hAnsi="Arial"/>
                <w:b/>
                <w:bCs/>
                <w:sz w:val="16"/>
                <w:szCs w:val="16"/>
              </w:rPr>
              <w:t xml:space="preserve"> / </w:t>
            </w:r>
            <w:r>
              <w:rPr>
                <w:rFonts w:ascii="Arial" w:cs="Arial" w:eastAsia="Arial" w:hAnsi="Arial"/>
                <w:b/>
                <w:bCs/>
                <w:i/>
                <w:iCs/>
                <w:sz w:val="16"/>
                <w:szCs w:val="16"/>
              </w:rPr>
              <w:t xml:space="preserve">ESTIMATE / QUOTE (€)</w:t>
            </w:r>
          </w:p>
        </w:tc>
      </w:tr>
      <w:tr>
        <w:tc>
          <w:tcPr>
            <w:tcW w:type="pct" w:w="38%"/>
          </w:tcPr>
          <w:p>
            <w:r>
              <w:rPr>
                <w:sz w:val="19"/>
                <w:szCs w:val="19"/>
              </w:rPr>
              <w:t xml:space="preserve"> </w:t>
            </w:r>
          </w:p>
        </w:tc>
        <w:tc>
          <w:tcPr>
            <w:tcW w:type="pct" w:w="24%"/>
          </w:tcPr>
          <w:p>
            <w:r>
              <w:rPr>
                <w:sz w:val="19"/>
                <w:szCs w:val="19"/>
              </w:rPr>
              <w:t xml:space="preserve"> </w:t>
            </w:r>
          </w:p>
        </w:tc>
        <w:tc>
          <w:tcPr>
            <w:tcW w:type="pct" w:w="38%"/>
          </w:tcPr>
          <w:p>
            <w:r>
              <w:rPr>
                <w:sz w:val="19"/>
                <w:szCs w:val="19"/>
              </w:rPr>
              <w:t xml:space="preserve"> </w:t>
            </w:r>
          </w:p>
        </w:tc>
      </w:tr>
      <w:tr>
        <w:tc>
          <w:tcPr>
            <w:tcW w:type="pct" w:w="38%"/>
          </w:tcPr>
          <w:p>
            <w:r>
              <w:rPr>
                <w:sz w:val="19"/>
                <w:szCs w:val="19"/>
              </w:rPr>
              <w:t xml:space="preserve"> </w:t>
            </w:r>
          </w:p>
        </w:tc>
        <w:tc>
          <w:tcPr>
            <w:tcW w:type="pct" w:w="24%"/>
          </w:tcPr>
          <w:p>
            <w:r>
              <w:rPr>
                <w:sz w:val="19"/>
                <w:szCs w:val="19"/>
              </w:rPr>
              <w:t xml:space="preserve"> </w:t>
            </w:r>
          </w:p>
        </w:tc>
        <w:tc>
          <w:tcPr>
            <w:tcW w:type="pct" w:w="38%"/>
          </w:tcPr>
          <w:p>
            <w:r>
              <w:rPr>
                <w:sz w:val="19"/>
                <w:szCs w:val="19"/>
              </w:rPr>
              <w:t xml:space="preserve"> </w:t>
            </w:r>
          </w:p>
        </w:tc>
      </w:tr>
      <w:tr>
        <w:tc>
          <w:tcPr>
            <w:tcW w:type="pct" w:w="38%"/>
          </w:tcPr>
          <w:p>
            <w:r>
              <w:rPr>
                <w:sz w:val="19"/>
                <w:szCs w:val="19"/>
              </w:rPr>
              <w:t xml:space="preserve"> </w:t>
            </w:r>
          </w:p>
        </w:tc>
        <w:tc>
          <w:tcPr>
            <w:tcW w:type="pct" w:w="24%"/>
          </w:tcPr>
          <w:p>
            <w:r>
              <w:rPr>
                <w:sz w:val="19"/>
                <w:szCs w:val="19"/>
              </w:rPr>
              <w:t xml:space="preserve"> </w:t>
            </w:r>
          </w:p>
        </w:tc>
        <w:tc>
          <w:tcPr>
            <w:tcW w:type="pct" w:w="38%"/>
          </w:tcPr>
          <w:p>
            <w:r>
              <w:rPr>
                <w:sz w:val="19"/>
                <w:szCs w:val="19"/>
              </w:rPr>
              <w:t xml:space="preserve"> </w:t>
            </w:r>
          </w:p>
        </w:tc>
      </w:tr>
      <w:tr>
        <w:tc>
          <w:tcPr>
            <w:tcW w:type="pct" w:w="38%"/>
          </w:tcPr>
          <w:p>
            <w:r>
              <w:rPr>
                <w:sz w:val="19"/>
                <w:szCs w:val="19"/>
              </w:rPr>
              <w:t xml:space="preserve"> </w:t>
            </w:r>
          </w:p>
        </w:tc>
        <w:tc>
          <w:tcPr>
            <w:tcW w:type="pct" w:w="24%"/>
          </w:tcPr>
          <w:p>
            <w:r>
              <w:rPr>
                <w:sz w:val="19"/>
                <w:szCs w:val="19"/>
              </w:rPr>
              <w:t xml:space="preserve"> </w:t>
            </w:r>
          </w:p>
        </w:tc>
        <w:tc>
          <w:tcPr>
            <w:tcW w:type="pct" w:w="38%"/>
          </w:tcPr>
          <w:p>
            <w:r>
              <w:rPr>
                <w:sz w:val="19"/>
                <w:szCs w:val="19"/>
              </w:rPr>
              <w:t xml:space="preserve"> </w:t>
            </w:r>
          </w:p>
        </w:tc>
      </w:tr>
    </w:tbl>
    <w:p>
      <w:pPr>
        <w:spacing w:after="60"/>
      </w:pPr>
    </w:p>
    <w:tbl>
      <w:tblPr>
        <w:tblW w:type="pct" w:w="100%"/>
        <w:tblBorders>
          <w:top w:val="none" w:color="FFFFFF" w:sz="0"/>
          <w:left w:val="none" w:color="FFFFFF" w:sz="0"/>
          <w:bottom w:val="none" w:color="FFFFFF" w:sz="0"/>
          <w:right w:val="none" w:color="FFFFFF" w:sz="0"/>
          <w:insideH w:val="none" w:color="FFFFFF" w:sz="0"/>
          <w:insideV w:val="none" w:color="FFFFFF" w:sz="0"/>
        </w:tblBorders>
        <w:tblCellMar>
          <w:top w:type="dxa" w:w="20"/>
          <w:left w:type="dxa" w:w="0"/>
          <w:bottom w:type="dxa" w:w="60"/>
          <w:right w:type="dxa" w:w="120"/>
        </w:tblCellMar>
      </w:tblPr>
      <w:tblGrid>
        <w:gridCol w:w="100"/>
        <w:gridCol w:w="100"/>
      </w:tblGrid>
      <w:tr>
        <w:tc>
          <w:tcPr>
            <w:tcW w:type="pct" w:w="50%"/>
            <w:tcBorders>
              <w:top w:val="none" w:color="FFFFFF" w:sz="0"/>
              <w:left w:val="none" w:color="FFFFFF" w:sz="0"/>
              <w:bottom w:val="none" w:color="FFFFFF" w:sz="0"/>
              <w:right w:val="none" w:color="FFFFFF" w:sz="0"/>
            </w:tcBorders>
          </w:tcPr>
          <w:p>
            <w:pPr>
              <w:jc w:val="both"/>
            </w:pPr>
            <w:r>
              <w:rPr>
                <w:i/>
                <w:iCs/>
                <w:color w:val="444444"/>
                <w:sz w:val="18"/>
                <w:szCs w:val="18"/>
              </w:rPr>
              <w:t xml:space="preserve">A caução só pode ser usada para cobrir danos imputáveis ao Arrendatário, dentro do limite legal de duas rendas (art. 1076.º, n.º 2 do Código Civil). Antes de reter qualquer valor, reúna fotografias datadas e, pelo menos, dois orçamentos ou faturas de reparação, e entregue ao Arrendatário um </w:t>
            </w:r>
            <w:r>
              <w:rPr>
                <w:b/>
                <w:bCs/>
                <w:i/>
                <w:iCs/>
                <w:color w:val="444444"/>
                <w:sz w:val="18"/>
                <w:szCs w:val="18"/>
              </w:rPr>
              <w:t xml:space="preserve">mapa de acerto</w:t>
            </w:r>
            <w:r>
              <w:rPr>
                <w:i/>
                <w:iCs/>
                <w:color w:val="444444"/>
                <w:sz w:val="18"/>
                <w:szCs w:val="18"/>
              </w:rPr>
              <w:t xml:space="preserve"> escrito com a discriminação de cada dedução e cópia dos documentos de suporte.</w:t>
            </w:r>
          </w:p>
        </w:tc>
        <w:tc>
          <w:tcPr>
            <w:tcW w:type="pct" w:w="50%"/>
            <w:tcBorders>
              <w:top w:val="none" w:color="FFFFFF" w:sz="0"/>
              <w:left w:val="none" w:color="FFFFFF" w:sz="0"/>
              <w:bottom w:val="none" w:color="FFFFFF" w:sz="0"/>
              <w:right w:val="none" w:color="FFFFFF" w:sz="0"/>
            </w:tcBorders>
          </w:tcPr>
          <w:p>
            <w:pPr>
              <w:jc w:val="both"/>
            </w:pPr>
            <w:r>
              <w:rPr>
                <w:i/>
                <w:iCs/>
                <w:color w:val="444444"/>
                <w:sz w:val="18"/>
                <w:szCs w:val="18"/>
              </w:rPr>
              <w:t xml:space="preserve">The security deposit may only be used to cover damage chargeable to the Tenant, within the legal cap of two months' rent (Article 1076(2) of the Civil Code). Before withholding any amount, gather dated photographs and at least two repair quotes or invoices, and give the Tenant a written </w:t>
            </w:r>
            <w:r>
              <w:rPr>
                <w:b/>
                <w:bCs/>
                <w:i/>
                <w:iCs/>
                <w:color w:val="444444"/>
                <w:sz w:val="18"/>
                <w:szCs w:val="18"/>
              </w:rPr>
              <w:t xml:space="preserve">settlement statement</w:t>
            </w:r>
            <w:r>
              <w:rPr>
                <w:i/>
                <w:iCs/>
                <w:color w:val="444444"/>
                <w:sz w:val="18"/>
                <w:szCs w:val="18"/>
              </w:rPr>
              <w:t xml:space="preserve"> itemising each deduction, together with copies of the supporting documents.</w:t>
            </w:r>
          </w:p>
        </w:tc>
      </w:tr>
    </w:tbl>
    <w:p>
      <w:pPr>
        <w:keepNext/>
        <w:pBdr>
          <w:bottom w:val="single" w:color="333333" w:sz="6" w:space="2"/>
        </w:pBdr>
        <w:spacing w:after="120" w:before="260"/>
      </w:pPr>
      <w:r>
        <w:rPr>
          <w:b/>
          <w:bCs/>
          <w:sz w:val="21"/>
          <w:szCs w:val="21"/>
        </w:rPr>
        <w:t xml:space="preserve">OBSERVAÇÕES GERAIS</w:t>
      </w:r>
      <w:r>
        <w:rPr>
          <w:b/>
          <w:bCs/>
          <w:sz w:val="21"/>
          <w:szCs w:val="21"/>
        </w:rPr>
        <w:t xml:space="preserve"> / </w:t>
      </w:r>
      <w:r>
        <w:rPr>
          <w:b/>
          <w:bCs/>
          <w:i/>
          <w:iCs/>
          <w:sz w:val="21"/>
          <w:szCs w:val="21"/>
        </w:rPr>
        <w:t xml:space="preserve">GENERAL OBSERVATIONS</w:t>
      </w:r>
    </w:p>
    <w:p>
      <w:pPr>
        <w:tabs>
          <w:tab w:val="right" w:pos="9746" w:leader="dot"/>
        </w:tabs>
        <w:spacing w:after="160"/>
      </w:pPr>
      <w:r>
        <w:t xml:space="preserve">Nota 1</w:t>
      </w:r>
      <w:r>
        <w:t xml:space="preserve"> / </w:t>
      </w:r>
      <w:r>
        <w:rPr>
          <w:i/>
          <w:iCs/>
        </w:rPr>
        <w:t xml:space="preserve">Note 1</w:t>
      </w:r>
      <w:r>
        <w:t xml:space="preserve">: </w:t>
      </w:r>
      <w:r>
        <w:t xml:space="preserve">	</w:t>
      </w:r>
    </w:p>
    <w:p>
      <w:pPr>
        <w:tabs>
          <w:tab w:val="right" w:pos="9746" w:leader="dot"/>
        </w:tabs>
        <w:spacing w:after="160"/>
      </w:pPr>
      <w:r>
        <w:t xml:space="preserve">Nota 2</w:t>
      </w:r>
      <w:r>
        <w:t xml:space="preserve"> / </w:t>
      </w:r>
      <w:r>
        <w:rPr>
          <w:i/>
          <w:iCs/>
        </w:rPr>
        <w:t xml:space="preserve">Note 2</w:t>
      </w:r>
      <w:r>
        <w:t xml:space="preserve">: </w:t>
      </w:r>
      <w:r>
        <w:t xml:space="preserve">	</w:t>
      </w:r>
    </w:p>
    <w:p>
      <w:pPr>
        <w:tabs>
          <w:tab w:val="right" w:pos="9746" w:leader="dot"/>
        </w:tabs>
        <w:spacing w:after="160"/>
      </w:pPr>
      <w:r>
        <w:t xml:space="preserve">Nota 3</w:t>
      </w:r>
      <w:r>
        <w:t xml:space="preserve"> / </w:t>
      </w:r>
      <w:r>
        <w:rPr>
          <w:i/>
          <w:iCs/>
        </w:rPr>
        <w:t xml:space="preserve">Note 3</w:t>
      </w:r>
      <w:r>
        <w:t xml:space="preserve">: </w:t>
      </w:r>
      <w:r>
        <w:t xml:space="preserve">	</w:t>
      </w:r>
    </w:p>
    <w:tbl>
      <w:tblPr>
        <w:tblW w:type="pct" w:w="100%"/>
        <w:tblBorders>
          <w:top w:val="none" w:color="FFFFFF" w:sz="0"/>
          <w:left w:val="none" w:color="FFFFFF" w:sz="0"/>
          <w:bottom w:val="none" w:color="FFFFFF" w:sz="0"/>
          <w:right w:val="none" w:color="FFFFFF" w:sz="0"/>
          <w:insideH w:val="none" w:color="FFFFFF" w:sz="0"/>
          <w:insideV w:val="none" w:color="FFFFFF" w:sz="0"/>
        </w:tblBorders>
        <w:tblCellMar>
          <w:top w:type="dxa" w:w="20"/>
          <w:left w:type="dxa" w:w="0"/>
          <w:bottom w:type="dxa" w:w="60"/>
          <w:right w:type="dxa" w:w="120"/>
        </w:tblCellMar>
      </w:tblPr>
      <w:tblGrid>
        <w:gridCol w:w="100"/>
        <w:gridCol w:w="100"/>
      </w:tblGrid>
      <w:tr>
        <w:tc>
          <w:tcPr>
            <w:tcW w:type="pct" w:w="50%"/>
            <w:tcBorders>
              <w:top w:val="none" w:color="FFFFFF" w:sz="0"/>
              <w:left w:val="none" w:color="FFFFFF" w:sz="0"/>
              <w:bottom w:val="none" w:color="FFFFFF" w:sz="0"/>
              <w:right w:val="none" w:color="FFFFFF" w:sz="0"/>
            </w:tcBorders>
          </w:tcPr>
          <w:p>
            <w:pPr>
              <w:jc w:val="both"/>
            </w:pPr>
            <w:r>
              <w:rPr>
                <w:i/>
                <w:iCs/>
                <w:color w:val="444444"/>
                <w:sz w:val="18"/>
                <w:szCs w:val="18"/>
              </w:rPr>
              <w:t xml:space="preserve">Se o Arrendatário se recusar a assinar este auto, realize a vistoria com duas testemunhas identificadas e envie-lhe uma cópia por carta registada com aviso de receção, de modo a ficar com prova do envio e da data. A lei não impõe uma forma especial para o auto de vistoria — a carta registada é aqui uma cautela probatória, não um requisito legal.</w:t>
            </w:r>
          </w:p>
        </w:tc>
        <w:tc>
          <w:tcPr>
            <w:tcW w:type="pct" w:w="50%"/>
            <w:tcBorders>
              <w:top w:val="none" w:color="FFFFFF" w:sz="0"/>
              <w:left w:val="none" w:color="FFFFFF" w:sz="0"/>
              <w:bottom w:val="none" w:color="FFFFFF" w:sz="0"/>
              <w:right w:val="none" w:color="FFFFFF" w:sz="0"/>
            </w:tcBorders>
          </w:tcPr>
          <w:p>
            <w:pPr>
              <w:jc w:val="both"/>
            </w:pPr>
            <w:r>
              <w:rPr>
                <w:i/>
                <w:iCs/>
                <w:color w:val="444444"/>
                <w:sz w:val="18"/>
                <w:szCs w:val="18"/>
              </w:rPr>
              <w:t xml:space="preserve">If the Tenant refuses to sign this report, carry out the inspection with two identified witnesses and send the Tenant a copy by registered mail with acknowledgement of receipt, so as to have proof of dispatch and of the date. The law lays down no special form for an inspection report — the registered letter is an evidentiary precaution here, not a legal requirement.</w:t>
            </w:r>
          </w:p>
        </w:tc>
      </w:tr>
    </w:tbl>
    <w:tbl>
      <w:tblPr>
        <w:tblW w:type="pct" w:w="100%"/>
        <w:tblBorders>
          <w:top w:val="none" w:color="FFFFFF" w:sz="0"/>
          <w:left w:val="none" w:color="FFFFFF" w:sz="0"/>
          <w:bottom w:val="none" w:color="FFFFFF" w:sz="0"/>
          <w:right w:val="none" w:color="FFFFFF" w:sz="0"/>
          <w:insideH w:val="none" w:color="FFFFFF" w:sz="0"/>
          <w:insideV w:val="none" w:color="FFFFFF" w:sz="0"/>
        </w:tblBorders>
        <w:tblCellMar>
          <w:top w:type="dxa" w:w="20"/>
          <w:left w:type="dxa" w:w="0"/>
          <w:bottom w:type="dxa" w:w="60"/>
          <w:right w:type="dxa" w:w="120"/>
        </w:tblCellMar>
      </w:tblPr>
      <w:tblGrid>
        <w:gridCol w:w="100"/>
        <w:gridCol w:w="100"/>
      </w:tblGrid>
      <w:tr>
        <w:tc>
          <w:tcPr>
            <w:tcW w:type="pct" w:w="50%"/>
            <w:tcBorders>
              <w:top w:val="none" w:color="FFFFFF" w:sz="0"/>
              <w:left w:val="none" w:color="FFFFFF" w:sz="0"/>
              <w:bottom w:val="none" w:color="FFFFFF" w:sz="0"/>
              <w:right w:val="none" w:color="FFFFFF" w:sz="0"/>
            </w:tcBorders>
          </w:tcPr>
          <w:p>
            <w:pPr>
              <w:jc w:val="both"/>
            </w:pPr>
            <w:r>
              <w:t xml:space="preserve">Ambas as partes declaram que este auto reflete fielmente o estado do imóvel na data indicada.</w:t>
            </w:r>
          </w:p>
        </w:tc>
        <w:tc>
          <w:tcPr>
            <w:tcW w:type="pct" w:w="50%"/>
            <w:tcBorders>
              <w:top w:val="none" w:color="FFFFFF" w:sz="0"/>
              <w:left w:val="none" w:color="FFFFFF" w:sz="0"/>
              <w:bottom w:val="none" w:color="FFFFFF" w:sz="0"/>
              <w:right w:val="none" w:color="FFFFFF" w:sz="0"/>
            </w:tcBorders>
          </w:tcPr>
          <w:p>
            <w:pPr>
              <w:jc w:val="both"/>
            </w:pPr>
            <w:r>
              <w:rPr>
                <w:i/>
                <w:iCs/>
              </w:rPr>
              <w:t xml:space="preserve">Both parties declare that this report faithfully reflects the condition of the property on the date indicated.</w:t>
            </w:r>
          </w:p>
        </w:tc>
      </w:tr>
    </w:tbl>
    <w:p>
      <w:pPr>
        <w:spacing w:after="200" w:before="300"/>
      </w:pPr>
      <w:r>
        <w:t xml:space="preserve">Feito em _____________________, aos ____ de ______________ de 20____</w:t>
      </w:r>
      <w:r>
        <w:rPr>
          <w:i/>
          <w:iCs/>
        </w:rPr>
        <w:t xml:space="preserve">  / Done at, on (date)</w:t>
      </w:r>
    </w:p>
    <w:tbl>
      <w:tblPr>
        <w:tblW w:type="pct" w:w="100%"/>
        <w:tblBorders>
          <w:top w:val="none" w:color="FFFFFF" w:sz="0"/>
          <w:left w:val="none" w:color="FFFFFF" w:sz="0"/>
          <w:bottom w:val="none" w:color="FFFFFF" w:sz="0"/>
          <w:right w:val="none" w:color="FFFFFF" w:sz="0"/>
          <w:insideH w:val="none" w:color="FFFFFF" w:sz="0"/>
          <w:insideV w:val="none" w:color="FFFFFF" w:sz="0"/>
        </w:tblBorders>
        <w:tblCellMar>
          <w:top w:type="dxa" w:w="0"/>
          <w:left w:type="dxa" w:w="200"/>
          <w:bottom w:type="dxa" w:w="0"/>
          <w:right w:type="dxa" w:w="200"/>
        </w:tblCellMar>
      </w:tblPr>
      <w:tblGrid>
        <w:gridCol w:w="100"/>
        <w:gridCol w:w="100"/>
      </w:tblGrid>
      <w:tr>
        <w:tc>
          <w:tcPr>
            <w:tcW w:type="pct" w:w="50%"/>
            <w:tcBorders>
              <w:top w:val="none" w:color="FFFFFF" w:sz="0"/>
              <w:left w:val="none" w:color="FFFFFF" w:sz="0"/>
              <w:bottom w:val="none" w:color="FFFFFF" w:sz="0"/>
              <w:right w:val="none" w:color="FFFFFF" w:sz="0"/>
            </w:tcBorders>
          </w:tcPr>
          <w:p>
            <w:pPr>
              <w:spacing w:before="700"/>
            </w:pPr>
          </w:p>
          <w:p>
            <w:pPr>
              <w:pBdr>
                <w:top w:val="single" w:color="000000" w:sz="6" w:space="4"/>
              </w:pBdr>
              <w:jc w:val="center"/>
            </w:pPr>
            <w:r>
              <w:rPr>
                <w:sz w:val="19"/>
                <w:szCs w:val="19"/>
              </w:rPr>
              <w:t xml:space="preserve">O Senhorio</w:t>
            </w:r>
            <w:r>
              <w:rPr>
                <w:sz w:val="19"/>
                <w:szCs w:val="19"/>
              </w:rPr>
              <w:t xml:space="preserve"> / </w:t>
            </w:r>
            <w:r>
              <w:rPr>
                <w:i/>
                <w:iCs/>
                <w:sz w:val="19"/>
                <w:szCs w:val="19"/>
              </w:rPr>
              <w:t xml:space="preserve">The Landlord</w:t>
            </w:r>
          </w:p>
          <w:p>
            <w:pPr>
              <w:jc w:val="center"/>
            </w:pPr>
            <w:r>
              <w:rPr>
                <w:color w:val="555555"/>
                <w:sz w:val="16"/>
                <w:szCs w:val="16"/>
              </w:rPr>
              <w:t xml:space="preserve">(assinatura conforme documento de identificação)</w:t>
            </w:r>
            <w:r>
              <w:rPr>
                <w:color w:val="555555"/>
                <w:sz w:val="16"/>
                <w:szCs w:val="16"/>
              </w:rPr>
              <w:t xml:space="preserve"> / </w:t>
            </w:r>
            <w:r>
              <w:rPr>
                <w:i/>
                <w:iCs/>
                <w:color w:val="555555"/>
                <w:sz w:val="16"/>
                <w:szCs w:val="16"/>
              </w:rPr>
              <w:t xml:space="preserve">(signature as per ID document)</w:t>
            </w:r>
          </w:p>
        </w:tc>
        <w:tc>
          <w:tcPr>
            <w:tcW w:type="pct" w:w="50%"/>
            <w:tcBorders>
              <w:top w:val="none" w:color="FFFFFF" w:sz="0"/>
              <w:left w:val="none" w:color="FFFFFF" w:sz="0"/>
              <w:bottom w:val="none" w:color="FFFFFF" w:sz="0"/>
              <w:right w:val="none" w:color="FFFFFF" w:sz="0"/>
            </w:tcBorders>
          </w:tcPr>
          <w:p>
            <w:pPr>
              <w:spacing w:before="700"/>
            </w:pPr>
          </w:p>
          <w:p>
            <w:pPr>
              <w:pBdr>
                <w:top w:val="single" w:color="000000" w:sz="6" w:space="4"/>
              </w:pBdr>
              <w:jc w:val="center"/>
            </w:pPr>
            <w:r>
              <w:rPr>
                <w:sz w:val="19"/>
                <w:szCs w:val="19"/>
              </w:rPr>
              <w:t xml:space="preserve">O Arrendatário</w:t>
            </w:r>
            <w:r>
              <w:rPr>
                <w:sz w:val="19"/>
                <w:szCs w:val="19"/>
              </w:rPr>
              <w:t xml:space="preserve"> / </w:t>
            </w:r>
            <w:r>
              <w:rPr>
                <w:i/>
                <w:iCs/>
                <w:sz w:val="19"/>
                <w:szCs w:val="19"/>
              </w:rPr>
              <w:t xml:space="preserve">The Tenant</w:t>
            </w:r>
          </w:p>
          <w:p>
            <w:pPr>
              <w:jc w:val="center"/>
            </w:pPr>
            <w:r>
              <w:rPr>
                <w:color w:val="555555"/>
                <w:sz w:val="16"/>
                <w:szCs w:val="16"/>
              </w:rPr>
              <w:t xml:space="preserve">(assinatura conforme documento de identificação)</w:t>
            </w:r>
            <w:r>
              <w:rPr>
                <w:color w:val="555555"/>
                <w:sz w:val="16"/>
                <w:szCs w:val="16"/>
              </w:rPr>
              <w:t xml:space="preserve"> / </w:t>
            </w:r>
            <w:r>
              <w:rPr>
                <w:i/>
                <w:iCs/>
                <w:color w:val="555555"/>
                <w:sz w:val="16"/>
                <w:szCs w:val="16"/>
              </w:rPr>
              <w:t xml:space="preserve">(signature as per ID document)</w:t>
            </w:r>
          </w:p>
        </w:tc>
      </w:tr>
    </w:tbl>
    <w:p>
      <w:pPr>
        <w:spacing w:before="240"/>
      </w:pPr>
    </w:p>
    <w:tbl>
      <w:tblPr>
        <w:tblW w:type="pct" w:w="100%"/>
        <w:tblBorders>
          <w:top w:val="single" w:color="B8C7C7" w:sz="6"/>
          <w:left w:val="single" w:color="B8C7C7" w:sz="6"/>
          <w:bottom w:val="single" w:color="B8C7C7" w:sz="6"/>
          <w:right w:val="single" w:color="B8C7C7" w:sz="6"/>
          <w:insideH w:val="none" w:color="FFFFFF" w:sz="0"/>
          <w:insideV w:val="none" w:color="FFFFFF" w:sz="0"/>
        </w:tblBorders>
        <w:tblCellMar>
          <w:top w:type="dxa" w:w="140"/>
          <w:left w:type="dxa" w:w="200"/>
          <w:bottom w:type="dxa" w:w="140"/>
          <w:right w:type="dxa" w:w="200"/>
        </w:tblCellMar>
      </w:tblPr>
      <w:tblGrid>
        <w:gridCol w:w="100"/>
      </w:tblGrid>
      <w:tr>
        <w:tc>
          <w:tcPr>
            <w:tcBorders>
              <w:top w:val="none" w:color="FFFFFF" w:sz="0"/>
              <w:left w:val="none" w:color="FFFFFF" w:sz="0"/>
              <w:bottom w:val="none" w:color="FFFFFF" w:sz="0"/>
              <w:right w:val="none" w:color="FFFFFF" w:sz="0"/>
            </w:tcBorders>
            <w:shd w:fill="F6FAFA" w:val="clear"/>
          </w:tcPr>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100"/>
              <w:gridCol w:w="100"/>
            </w:tblGrid>
            <w:tr>
              <w:tc>
                <w:tcPr>
                  <w:tcW w:type="pct" w:w="50%"/>
                  <w:tcBorders>
                    <w:top w:val="none" w:color="FFFFFF" w:sz="0"/>
                    <w:left w:val="none" w:color="FFFFFF" w:sz="0"/>
                    <w:bottom w:val="none" w:color="FFFFFF" w:sz="0"/>
                    <w:right w:val="none" w:color="FFFFFF" w:sz="0"/>
                  </w:tcBorders>
                </w:tcPr>
                <w:p>
                  <w:pPr>
                    <w:spacing w:after="80"/>
                  </w:pPr>
                  <w:r>
                    <w:rPr>
                      <w:rFonts w:ascii="Arial" w:cs="Arial" w:eastAsia="Arial" w:hAnsi="Arial"/>
                      <w:b/>
                      <w:bCs/>
                      <w:color w:val="00504F"/>
                      <w:sz w:val="20"/>
                      <w:szCs w:val="20"/>
                    </w:rPr>
                    <w:t xml:space="preserve">Gira os seus arrendamentos gratuitamente na app Aluseg</w:t>
                  </w:r>
                </w:p>
                <w:p>
                  <w:pPr>
                    <w:spacing w:after="40"/>
                    <w:ind w:left="160"/>
                  </w:pPr>
                  <w:r>
                    <w:rPr>
                      <w:rFonts w:ascii="Arial" w:cs="Arial" w:eastAsia="Arial" w:hAnsi="Arial"/>
                      <w:color w:val="333333"/>
                      <w:sz w:val="17"/>
                      <w:szCs w:val="17"/>
                    </w:rPr>
                    <w:t xml:space="preserve">• Faça vistorias de entrada e saída com fotos e assinatura digital na aplicação Aluseg</w:t>
                  </w:r>
                </w:p>
                <w:p>
                  <w:pPr>
                    <w:spacing w:after="40"/>
                    <w:ind w:left="160"/>
                  </w:pPr>
                  <w:r>
                    <w:rPr>
                      <w:rFonts w:ascii="Arial" w:cs="Arial" w:eastAsia="Arial" w:hAnsi="Arial"/>
                      <w:color w:val="333333"/>
                      <w:sz w:val="17"/>
                      <w:szCs w:val="17"/>
                    </w:rPr>
                    <w:t xml:space="preserve">• Conta gratuita — imóveis, inquilinos, contratos e documentos num só lugar</w:t>
                  </w:r>
                </w:p>
                <w:p>
                  <w:pPr>
                    <w:spacing w:after="40"/>
                    <w:ind w:left="160"/>
                  </w:pPr>
                  <w:r>
                    <w:rPr>
                      <w:rFonts w:ascii="Arial" w:cs="Arial" w:eastAsia="Arial" w:hAnsi="Arial"/>
                      <w:color w:val="333333"/>
                      <w:sz w:val="17"/>
                      <w:szCs w:val="17"/>
                    </w:rPr>
                    <w:t xml:space="preserve">• Comunicação do contrato à AT e recibos de renda eletrónicos</w:t>
                  </w:r>
                </w:p>
                <w:p>
                  <w:pPr>
                    <w:spacing w:after="40"/>
                    <w:ind w:left="160"/>
                  </w:pPr>
                  <w:r>
                    <w:rPr>
                      <w:rFonts w:ascii="Arial" w:cs="Arial" w:eastAsia="Arial" w:hAnsi="Arial"/>
                      <w:color w:val="333333"/>
                      <w:sz w:val="17"/>
                      <w:szCs w:val="17"/>
                    </w:rPr>
                    <w:t xml:space="preserve">• Atualização anual da renda calculada automaticamente (coeficiente INE)</w:t>
                  </w:r>
                </w:p>
                <w:p>
                  <w:pPr>
                    <w:spacing w:after="40"/>
                    <w:ind w:left="160"/>
                  </w:pPr>
                  <w:r>
                    <w:rPr>
                      <w:rFonts w:ascii="Arial" w:cs="Arial" w:eastAsia="Arial" w:hAnsi="Arial"/>
                      <w:color w:val="333333"/>
                      <w:sz w:val="17"/>
                      <w:szCs w:val="17"/>
                    </w:rPr>
                    <w:t xml:space="preserve">• Verificação de solvência de candidatos e avisos de prazos legais</w:t>
                  </w:r>
                </w:p>
                <w:p>
                  <w:pPr>
                    <w:spacing w:after="40" w:before="80"/>
                  </w:pPr>
                  <w:r>
                    <w:rPr>
                      <w:rFonts w:ascii="Arial" w:cs="Arial" w:eastAsia="Arial" w:hAnsi="Arial"/>
                      <w:color w:val="333333"/>
                      <w:sz w:val="17"/>
                      <w:szCs w:val="17"/>
                    </w:rPr>
                    <w:t xml:space="preserve">Crie a sua conta gratuita em </w:t>
                  </w:r>
                  <w:hyperlink w:history="1" r:id="rIdgknznl82by5iye_m4xac8">
                    <w:r>
                      <w:rPr>
                        <w:rFonts w:ascii="Arial" w:cs="Arial" w:eastAsia="Arial" w:hAnsi="Arial"/>
                        <w:b/>
                        <w:bCs/>
                        <w:color w:val="005869"/>
                        <w:sz w:val="17"/>
                        <w:szCs w:val="17"/>
                      </w:rPr>
                      <w:t xml:space="preserve">app.aluseg.com</w:t>
                    </w:r>
                  </w:hyperlink>
                  <w:r>
                    <w:rPr>
                      <w:rFonts w:ascii="Arial" w:cs="Arial" w:eastAsia="Arial" w:hAnsi="Arial"/>
                      <w:color w:val="333333"/>
                      <w:sz w:val="17"/>
                      <w:szCs w:val="17"/>
                    </w:rPr>
                    <w:t xml:space="preserve"> — Sem cartão de crédito · Menos de 2 minutos</w:t>
                  </w:r>
                </w:p>
              </w:tc>
              <w:tc>
                <w:tcPr>
                  <w:tcW w:type="pct" w:w="50%"/>
                  <w:tcBorders>
                    <w:top w:val="none" w:color="FFFFFF" w:sz="0"/>
                    <w:left w:val="none" w:color="FFFFFF" w:sz="0"/>
                    <w:bottom w:val="none" w:color="FFFFFF" w:sz="0"/>
                    <w:right w:val="none" w:color="FFFFFF" w:sz="0"/>
                  </w:tcBorders>
                </w:tcPr>
                <w:p>
                  <w:pPr>
                    <w:spacing w:after="80"/>
                  </w:pPr>
                  <w:r>
                    <w:rPr>
                      <w:rFonts w:ascii="Arial" w:cs="Arial" w:eastAsia="Arial" w:hAnsi="Arial"/>
                      <w:b/>
                      <w:bCs/>
                      <w:color w:val="00504F"/>
                      <w:sz w:val="20"/>
                      <w:szCs w:val="20"/>
                    </w:rPr>
                    <w:t xml:space="preserve">Manage your rentals for free with the Aluseg app</w:t>
                  </w:r>
                </w:p>
                <w:p>
                  <w:pPr>
                    <w:spacing w:after="40"/>
                    <w:ind w:left="160"/>
                  </w:pPr>
                  <w:r>
                    <w:rPr>
                      <w:rFonts w:ascii="Arial" w:cs="Arial" w:eastAsia="Arial" w:hAnsi="Arial"/>
                      <w:color w:val="333333"/>
                      <w:sz w:val="17"/>
                      <w:szCs w:val="17"/>
                    </w:rPr>
                    <w:t xml:space="preserve">• Run move-in and move-out inspections with photos and digital signatures in the Aluseg app</w:t>
                  </w:r>
                </w:p>
                <w:p>
                  <w:pPr>
                    <w:spacing w:after="40"/>
                    <w:ind w:left="160"/>
                  </w:pPr>
                  <w:r>
                    <w:rPr>
                      <w:rFonts w:ascii="Arial" w:cs="Arial" w:eastAsia="Arial" w:hAnsi="Arial"/>
                      <w:color w:val="333333"/>
                      <w:sz w:val="17"/>
                      <w:szCs w:val="17"/>
                    </w:rPr>
                    <w:t xml:space="preserve">• Free account — properties, tenants, leases and documents in one place</w:t>
                  </w:r>
                </w:p>
                <w:p>
                  <w:pPr>
                    <w:spacing w:after="40"/>
                    <w:ind w:left="160"/>
                  </w:pPr>
                  <w:r>
                    <w:rPr>
                      <w:rFonts w:ascii="Arial" w:cs="Arial" w:eastAsia="Arial" w:hAnsi="Arial"/>
                      <w:color w:val="333333"/>
                      <w:sz w:val="17"/>
                      <w:szCs w:val="17"/>
                    </w:rPr>
                    <w:t xml:space="preserve">• Lease registration with the Tax Authority (AT) and electronic rent receipts</w:t>
                  </w:r>
                </w:p>
                <w:p>
                  <w:pPr>
                    <w:spacing w:after="40"/>
                    <w:ind w:left="160"/>
                  </w:pPr>
                  <w:r>
                    <w:rPr>
                      <w:rFonts w:ascii="Arial" w:cs="Arial" w:eastAsia="Arial" w:hAnsi="Arial"/>
                      <w:color w:val="333333"/>
                      <w:sz w:val="17"/>
                      <w:szCs w:val="17"/>
                    </w:rPr>
                    <w:t xml:space="preserve">• Annual rent update calculated automatically (INE coefficient)</w:t>
                  </w:r>
                </w:p>
                <w:p>
                  <w:pPr>
                    <w:spacing w:after="40"/>
                    <w:ind w:left="160"/>
                  </w:pPr>
                  <w:r>
                    <w:rPr>
                      <w:rFonts w:ascii="Arial" w:cs="Arial" w:eastAsia="Arial" w:hAnsi="Arial"/>
                      <w:color w:val="333333"/>
                      <w:sz w:val="17"/>
                      <w:szCs w:val="17"/>
                    </w:rPr>
                    <w:t xml:space="preserve">• Tenant screening and legal deadline reminders</w:t>
                  </w:r>
                </w:p>
                <w:p>
                  <w:pPr>
                    <w:spacing w:after="40" w:before="80"/>
                  </w:pPr>
                  <w:r>
                    <w:rPr>
                      <w:rFonts w:ascii="Arial" w:cs="Arial" w:eastAsia="Arial" w:hAnsi="Arial"/>
                      <w:color w:val="333333"/>
                      <w:sz w:val="17"/>
                      <w:szCs w:val="17"/>
                    </w:rPr>
                    <w:t xml:space="preserve">Create your free account at </w:t>
                  </w:r>
                  <w:hyperlink w:history="1" r:id="rIdubjxglxytpvrz_tmdt1be">
                    <w:r>
                      <w:rPr>
                        <w:rFonts w:ascii="Arial" w:cs="Arial" w:eastAsia="Arial" w:hAnsi="Arial"/>
                        <w:b/>
                        <w:bCs/>
                        <w:color w:val="005869"/>
                        <w:sz w:val="17"/>
                        <w:szCs w:val="17"/>
                      </w:rPr>
                      <w:t xml:space="preserve">app.aluseg.com</w:t>
                    </w:r>
                  </w:hyperlink>
                  <w:r>
                    <w:rPr>
                      <w:rFonts w:ascii="Arial" w:cs="Arial" w:eastAsia="Arial" w:hAnsi="Arial"/>
                      <w:color w:val="333333"/>
                      <w:sz w:val="17"/>
                      <w:szCs w:val="17"/>
                    </w:rPr>
                    <w:t xml:space="preserve"> — No credit card · Less than 2 minutes</w:t>
                  </w:r>
                </w:p>
              </w:tc>
            </w:tr>
          </w:tbl>
          <w:p>
            <w:pPr>
              <w:spacing w:before="60"/>
            </w:pPr>
            <w:r>
              <w:rPr>
                <w:rFonts w:ascii="Arial" w:cs="Arial" w:eastAsia="Arial" w:hAnsi="Arial"/>
                <w:i/>
                <w:iCs/>
                <w:color w:val="777777"/>
                <w:sz w:val="15"/>
                <w:szCs w:val="15"/>
              </w:rPr>
              <w:t xml:space="preserve">Bloco informativo — não integra o documento. / Informational block — not part of the document.</w:t>
            </w:r>
          </w:p>
        </w:tc>
      </w:tr>
    </w:tbl>
    <w:p>
      <w:pPr>
        <w:pBdr>
          <w:top w:val="single" w:color="CCCCCC" w:sz="4" w:space="4"/>
        </w:pBdr>
        <w:spacing w:before="240"/>
      </w:pPr>
      <w:r>
        <w:rPr>
          <w:rFonts w:ascii="Arial" w:cs="Arial" w:eastAsia="Arial" w:hAnsi="Arial"/>
          <w:color w:val="666666"/>
          <w:sz w:val="15"/>
          <w:szCs w:val="15"/>
        </w:rPr>
        <w:t xml:space="preserve">Gerado com Aluseg.com — modelo informativo gerado automaticamente; não dispensa aconselhamento jurídico profissional. Reveja todos os campos antes de assinar ou enviar. / Generated with Aluseg.com — informational template generated automatically; it does not replace professional legal advice. Review all fields before signing or sending. Referências legais / Legal references: Art. 1043.º do Código Civil (manutenção e restituição; presunção de bom estado); Art. 1073.º, n.º 2 do Código Civil (reparação das deteriorações lícitas antes da restituição); Art. 1076.º, n.º 2 do Código Civil (caução até ao valor correspondente a duas rendas); Art. 1081.º, n.º 1 do Código Civil (desocupação e entrega com as reparações devidas).</w:t>
      </w:r>
    </w:p>
    <w:sectPr>
      <w:headerReference w:type="default" r:id="rId7"/>
      <w:footerReference w:type="default" r:id="rId8"/>
      <w:pgSz w:w="11906" w:h="16838" w:orient="portrait"/>
      <w:pgMar w:top="1000" w:right="1080" w:bottom="110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color w:val="888888"/>
        <w:sz w:val="14"/>
        <w:szCs w:val="14"/>
      </w:rPr>
      <w:t xml:space="preserve">Gerado com Aluseg.com — modelos gratuitos para senhorios · app.aluseg.com · </w:t>
    </w:r>
    <w:r>
      <w:rPr>
        <w:rFonts w:ascii="Arial" w:cs="Arial" w:eastAsia="Arial" w:hAnsi="Arial"/>
        <w:color w:val="888888"/>
        <w:sz w:val="14"/>
        <w:szCs w:val="14"/>
      </w:rPr>
      <w:fldChar w:fldCharType="begin"/>
      <w:instrText xml:space="preserve">PAGE</w:instrText>
      <w:fldChar w:fldCharType="separate"/>
      <w:fldChar w:fldCharType="end"/>
    </w:r>
    <w:r>
      <w:rPr>
        <w:rFonts w:ascii="Arial" w:cs="Arial" w:eastAsia="Arial" w:hAnsi="Arial"/>
        <w:color w:val="888888"/>
        <w:sz w:val="14"/>
        <w:szCs w:val="14"/>
      </w:rPr>
      <w:t xml:space="preserve">/</w:t>
    </w:r>
    <w:r>
      <w:rPr>
        <w:rFonts w:ascii="Arial" w:cs="Arial" w:eastAsia="Arial" w:hAnsi="Arial"/>
        <w:color w:val="888888"/>
        <w:sz w:val="14"/>
        <w:szCs w:val="14"/>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005869" w:sz="12" w:space="6"/>
      </w:pBdr>
      <w:tabs>
        <w:tab w:val="right" w:pos="9746"/>
      </w:tabs>
    </w:pPr>
    <w:r>
      <w:drawing>
        <wp:inline distT="0" distB="0" distL="0" distR="0">
          <wp:extent cx="1123950" cy="4191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23950" cy="419100"/>
                  </a:xfrm>
                  <a:prstGeom prst="rect">
                    <a:avLst/>
                  </a:prstGeom>
                </pic:spPr>
              </pic:pic>
            </a:graphicData>
          </a:graphic>
        </wp:inline>
      </w:drawing>
    </w:r>
    <w:r>
      <w:rPr>
        <w:rFonts w:ascii="Arial" w:cs="Arial" w:eastAsia="Arial" w:hAnsi="Arial"/>
        <w:color w:val="5B6770"/>
        <w:sz w:val="14"/>
        <w:szCs w:val="14"/>
      </w:rPr>
      <w:t xml:space="preserve">	Modelos gratuitos para senhorios · aluseg.com/documentos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gknznl82by5iye_m4xac8" Type="http://schemas.openxmlformats.org/officeDocument/2006/relationships/hyperlink" Target="https://app.aluseg.com/login?mode=signup&amp;utm_source=documento&amp;utm_medium=docx&amp;utm_campaign=vistoria-de-saida" TargetMode="External"/><Relationship Id="rIdubjxglxytpvrz_tmdt1be" Type="http://schemas.openxmlformats.org/officeDocument/2006/relationships/hyperlink" Target="https://app.aluseg.com/login?mode=signup&amp;utm_source=documento&amp;utm_medium=docx&amp;utm_campaign=vistoria-de-saida" TargetMode="Externa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cdbdbe0c4b8568ee3ca6a749cbb83f546f43ead0.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2026-08-15T07:59:17.681Z</dcterms:created>
  <dcterms:modified xsi:type="dcterms:W3CDTF">2026-08-15T07:59:17.681Z</dcterms:modified>
</cp:coreProperties>
</file>

<file path=docProps/custom.xml><?xml version="1.0" encoding="utf-8"?>
<Properties xmlns="http://schemas.openxmlformats.org/officeDocument/2006/custom-properties" xmlns:vt="http://schemas.openxmlformats.org/officeDocument/2006/docPropsVTypes"/>
</file>