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28"/>
          <w:szCs w:val="28"/>
        </w:rPr>
        <w:t xml:space="preserve">AUTO DE VISTORIA DE SAÍDA</w:t>
      </w:r>
    </w:p>
    <w:p>
      <w:pPr>
        <w:spacing w:after="60"/>
        <w:jc w:val="center"/>
      </w:pPr>
      <w:r>
        <w:rPr>
          <w:color w:val="333333"/>
          <w:sz w:val="19"/>
          <w:szCs w:val="19"/>
        </w:rPr>
        <w:t xml:space="preserve">Arrendamento habitacional — vistoria de saída e registo de danos</w:t>
      </w:r>
    </w:p>
    <w:p>
      <w:pPr>
        <w:spacing w:after="160"/>
      </w:pPr>
    </w:p>
    <w:p>
      <w:pPr>
        <w:spacing w:after="140"/>
        <w:jc w:val="both"/>
      </w:pPr>
      <w:r>
        <w:t xml:space="preserve">No âmbito da cessação do contrato de arrendamento identificado abaixo, o Senhorio e o Arrendatário procedem à vistoria de saída do imóvel, registando o seu estado à data da entrega das chaves e comparando-o com o auto de vistoria de entrada. Este auto destina-se a documentar esse estado e a fundamentar eventuais deduções na caução.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IDENTIFICAÇÃO</w:t>
      </w:r>
    </w:p>
    <w:p>
      <w:pPr>
        <w:tabs>
          <w:tab w:val="right" w:pos="9746" w:leader="dot"/>
        </w:tabs>
        <w:spacing w:after="160"/>
      </w:pPr>
      <w:r>
        <w:t xml:space="preserve">Nome completo do Senhorio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Nome completo do Arrendatário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Imóvel (morada completa)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Referência do contrato de arrendamento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Data da vistoria de saída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Presentes na vistoria (nomes)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Data do auto de vistoria de entrada (referência)</w:t>
      </w:r>
      <w:r>
        <w:t xml:space="preserve">: </w:t>
      </w:r>
      <w:r>
        <w:t xml:space="preserve">	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Compare este auto com o auto de vistoria de entrada. O Arrendatário é obrigado a manter e restituir o imóvel no estado em que o recebeu, ressalvadas as deteriorações inerentes a uma prudente utilização, em conformidade com os fins do contrato — pelo que só lhe são imputáveis os danos que excedam esse desgaste (art. 1043.º, n.º 1 do Código Civil). As pequenas deteriorações lícitas feitas para assegurar conforto ou comodidade devem ser reparadas pelo Arrendatário antes da restituição do prédio, salvo estipulação em contrário (art. 1073.º, n.º 2 do Código Civil).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ESTADO DO IMÓVEL À SAÍDA, POR DIVISÃO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DIVISÃO</w:t>
            </w:r>
          </w:p>
        </w:tc>
        <w:tc>
          <w:tcPr>
            <w:tcW w:type="pct" w:w="19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ESTADO À SAÍDA</w:t>
            </w:r>
          </w:p>
        </w:tc>
        <w:tc>
          <w:tcPr>
            <w:tcW w:type="pct" w:w="31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DANOS VERIFICADOS (ALÉM DO DESGASTE NORMAL)</w:t>
            </w:r>
          </w:p>
        </w:tc>
        <w:tc>
          <w:tcPr>
            <w:tcW w:type="pct" w:w="3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OBSERVAÇÕES</w:t>
            </w:r>
          </w:p>
        </w:tc>
      </w:tr>
      <w:tr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Hall / entrada</w:t>
            </w:r>
          </w:p>
        </w:tc>
        <w:tc>
          <w:tcPr>
            <w:tcW w:type="pct" w:w="19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1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Sala</w:t>
            </w:r>
          </w:p>
        </w:tc>
        <w:tc>
          <w:tcPr>
            <w:tcW w:type="pct" w:w="19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1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Cozinha</w:t>
            </w:r>
          </w:p>
        </w:tc>
        <w:tc>
          <w:tcPr>
            <w:tcW w:type="pct" w:w="19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1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Quarto 1</w:t>
            </w:r>
          </w:p>
        </w:tc>
        <w:tc>
          <w:tcPr>
            <w:tcW w:type="pct" w:w="19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1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Quarto 2</w:t>
            </w:r>
          </w:p>
        </w:tc>
        <w:tc>
          <w:tcPr>
            <w:tcW w:type="pct" w:w="19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1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Quarto 3</w:t>
            </w:r>
          </w:p>
        </w:tc>
        <w:tc>
          <w:tcPr>
            <w:tcW w:type="pct" w:w="19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1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Casa de banho 1</w:t>
            </w:r>
          </w:p>
        </w:tc>
        <w:tc>
          <w:tcPr>
            <w:tcW w:type="pct" w:w="19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1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Casa de banho 2</w:t>
            </w:r>
          </w:p>
        </w:tc>
        <w:tc>
          <w:tcPr>
            <w:tcW w:type="pct" w:w="19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1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Varanda</w:t>
            </w:r>
          </w:p>
        </w:tc>
        <w:tc>
          <w:tcPr>
            <w:tcW w:type="pct" w:w="19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1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Arrecadação</w:t>
            </w:r>
          </w:p>
        </w:tc>
        <w:tc>
          <w:tcPr>
            <w:tcW w:type="pct" w:w="19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1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Garagem</w:t>
            </w:r>
          </w:p>
        </w:tc>
        <w:tc>
          <w:tcPr>
            <w:tcW w:type="pct" w:w="19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1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9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1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9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1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CONTADORES — LEITURAS FINAIS</w:t>
      </w:r>
    </w:p>
    <w:p>
      <w:pPr>
        <w:tabs>
          <w:tab w:val="right" w:pos="9746" w:leader="dot"/>
        </w:tabs>
        <w:spacing w:after="160"/>
      </w:pPr>
      <w:r>
        <w:t xml:space="preserve">Eletricidade (leitura final)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Gás (leitura final)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Água (leitura final)</w:t>
      </w:r>
      <w:r>
        <w:t xml:space="preserve">: </w:t>
      </w:r>
      <w:r>
        <w:t xml:space="preserve">	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CHAVES E ACESSOS DEVOLVIDOS</w:t>
      </w:r>
    </w:p>
    <w:p>
      <w:pPr>
        <w:spacing w:after="90"/>
        <w:ind w:left="200"/>
      </w:pPr>
      <w:r>
        <w:t xml:space="preserve">☐  </w:t>
      </w:r>
      <w:r>
        <w:t xml:space="preserve">Todas as chaves devolvidas</w:t>
      </w:r>
    </w:p>
    <w:p>
      <w:pPr>
        <w:spacing w:after="90"/>
        <w:ind w:left="200"/>
      </w:pPr>
      <w:r>
        <w:t xml:space="preserve">☐  </w:t>
      </w:r>
      <w:r>
        <w:t xml:space="preserve">Cartões / badges devolvidos</w:t>
      </w:r>
    </w:p>
    <w:p>
      <w:pPr>
        <w:spacing w:after="90"/>
        <w:ind w:left="200"/>
      </w:pPr>
      <w:r>
        <w:t xml:space="preserve">☐  </w:t>
      </w:r>
      <w:r>
        <w:t xml:space="preserve">Comandos devolvidos</w:t>
      </w:r>
    </w:p>
    <w:p>
      <w:pPr>
        <w:spacing w:after="90"/>
        <w:ind w:left="200"/>
      </w:pPr>
      <w:r>
        <w:t xml:space="preserve">☐  </w:t>
      </w:r>
      <w:r>
        <w:t xml:space="preserve">Códigos de acesso comunicados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Para o registo detalhado da entrega — número de cópias, portas correspondentes e assinatura de receção — utilize o Auto de Entrega das Chaves da Aluseg.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DANOS E RESSARCIMENTO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8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DANO</w:t>
            </w:r>
          </w:p>
        </w:tc>
        <w:tc>
          <w:tcPr>
            <w:tcW w:type="pct" w:w="2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DIVISÃO</w:t>
            </w:r>
          </w:p>
        </w:tc>
        <w:tc>
          <w:tcPr>
            <w:tcW w:type="pct" w:w="38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ESTIMATIVA / ORÇAMENTO (€)</w:t>
            </w:r>
          </w:p>
        </w:tc>
      </w:tr>
      <w:tr>
        <w:tc>
          <w:tcPr>
            <w:tcW w:type="pct" w:w="38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2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8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8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2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8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8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2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8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8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2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8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A caução só pode ser usada para cobrir danos imputáveis ao Arrendatário, dentro do limite legal de duas rendas (art. 1076.º, n.º 2 do Código Civil). Antes de reter qualquer valor, reúna fotografias datadas e, pelo menos, dois orçamentos ou faturas de reparação, e entregue ao Arrendatário um </w:t>
      </w:r>
      <w:r>
        <w:rPr>
          <w:b/>
          <w:bCs/>
          <w:i/>
          <w:iCs/>
          <w:color w:val="444444"/>
          <w:sz w:val="18"/>
          <w:szCs w:val="18"/>
        </w:rPr>
        <w:t xml:space="preserve">mapa de acerto</w:t>
      </w:r>
      <w:r>
        <w:rPr>
          <w:i/>
          <w:iCs/>
          <w:color w:val="444444"/>
          <w:sz w:val="18"/>
          <w:szCs w:val="18"/>
        </w:rPr>
        <w:t xml:space="preserve"> escrito com a discriminação de cada dedução e cópia dos documentos de suporte.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OBSERVAÇÕES GERAIS</w:t>
      </w:r>
    </w:p>
    <w:p>
      <w:pPr>
        <w:tabs>
          <w:tab w:val="right" w:pos="9746" w:leader="dot"/>
        </w:tabs>
        <w:spacing w:after="160"/>
      </w:pPr>
      <w:r>
        <w:t xml:space="preserve">Nota 1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Nota 2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Nota 3</w:t>
      </w:r>
      <w:r>
        <w:t xml:space="preserve">: </w:t>
      </w:r>
      <w:r>
        <w:t xml:space="preserve">	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Se o Arrendatário se recusar a assinar este auto, realize a vistoria com duas testemunhas identificadas e envie-lhe uma cópia por carta registada com aviso de receção, de modo a ficar com prova do envio e da data. A lei não impõe uma forma especial para o auto de vistoria — a carta registada é aqui uma cautela probatória, não um requisito legal.</w:t>
      </w:r>
    </w:p>
    <w:p>
      <w:pPr>
        <w:spacing w:after="140"/>
        <w:jc w:val="both"/>
      </w:pPr>
      <w:r>
        <w:t xml:space="preserve">Ambas as partes declaram que este auto reflete fielmente o estado do imóvel na data indicada.</w:t>
      </w:r>
    </w:p>
    <w:p>
      <w:pPr>
        <w:spacing w:after="200" w:before="300"/>
      </w:pPr>
      <w:r>
        <w:t xml:space="preserve">Feito em _____________________, aos ____ de ______________ de 20____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CellMar>
          <w:top w:type="dxa" w:w="0"/>
          <w:left w:type="dxa" w:w="200"/>
          <w:bottom w:type="dxa" w:w="0"/>
          <w:right w:type="dxa" w:w="200"/>
        </w:tblCellMar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Senhorio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(assinatura conforme documento de identificação)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Arrendatário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(assinatura conforme documento de identificação)</w:t>
            </w:r>
          </w:p>
        </w:tc>
      </w:tr>
    </w:tbl>
    <w:p>
      <w:pPr>
        <w:spacing w:before="240"/>
      </w:pPr>
    </w:p>
    <w:tbl>
      <w:tblPr>
        <w:tblW w:type="pct" w:w="100%"/>
        <w:tblBorders>
          <w:top w:val="single" w:color="B8C7C7" w:sz="6"/>
          <w:left w:val="single" w:color="B8C7C7" w:sz="6"/>
          <w:bottom w:val="single" w:color="B8C7C7" w:sz="6"/>
          <w:right w:val="single" w:color="B8C7C7" w:sz="6"/>
          <w:insideH w:val="none" w:color="FFFFFF" w:sz="0"/>
          <w:insideV w:val="none" w:color="FFFFFF" w:sz="0"/>
        </w:tblBorders>
        <w:tblCellMar>
          <w:top w:type="dxa" w:w="140"/>
          <w:left w:type="dxa" w:w="200"/>
          <w:bottom w:type="dxa" w:w="140"/>
          <w:right w:type="dxa" w:w="200"/>
        </w:tblCellMar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6FAFA" w:val="clear"/>
          </w:tcPr>
          <w:tbl>
            <w:tblPr>
              <w:tblW w:type="pct" w:w="10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0504F"/>
                      <w:sz w:val="20"/>
                      <w:szCs w:val="20"/>
                    </w:rPr>
                    <w:t xml:space="preserve">Gira os seus arrendamentos gratuitamente na app Aluseg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Faça vistorias de entrada e saída com fotos e assinatura digital na aplicação Aluseg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Conta gratuita — imóveis, inquilinos, contratos e documentos num só lugar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Comunicação do contrato à AT e recibos de renda eletrónicos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Atualização anual da renda calculada automaticamente (coeficiente INE)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Verificação de solvência de candidatos e avisos de prazos legais</w:t>
                  </w:r>
                </w:p>
                <w:p>
                  <w:pPr>
                    <w:spacing w:after="40" w:before="8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Crie a sua conta gratuita em </w:t>
                  </w:r>
                  <w:hyperlink w:history="1" r:id="rIdc8p64zfyt2x5fzl_xkmdh">
                    <w:r>
                      <w:rPr>
                        <w:rFonts w:ascii="Arial" w:cs="Arial" w:eastAsia="Arial" w:hAnsi="Arial"/>
                        <w:b/>
                        <w:bCs/>
                        <w:color w:val="005869"/>
                        <w:sz w:val="17"/>
                        <w:szCs w:val="17"/>
                      </w:rPr>
                      <w:t xml:space="preserve">app.aluseg.com</w:t>
                    </w:r>
                  </w:hyperlink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 — Sem cartão de crédito · Menos de 2 minutos</w:t>
                  </w:r>
                </w:p>
              </w:tc>
            </w:tr>
          </w:tbl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777777"/>
                <w:sz w:val="15"/>
                <w:szCs w:val="15"/>
              </w:rPr>
              <w:t xml:space="preserve">Bloco informativo — não integra o documento.</w:t>
            </w:r>
          </w:p>
        </w:tc>
      </w:tr>
    </w:tbl>
    <w:p>
      <w:pPr>
        <w:pBdr>
          <w:top w:val="single" w:color="CCCCCC" w:sz="4" w:space="4"/>
        </w:pBdr>
        <w:spacing w:before="2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Gerado com Aluseg.com — modelo informativo gerado automaticamente; não dispensa aconselhamento jurídico profissional. Reveja todos os campos antes de assinar ou enviar. Referências legais: Art. 1043.º do Código Civil (manutenção e restituição; presunção de bom estado); Art. 1073.º, n.º 2 do Código Civil (reparação das deteriorações lícitas antes da restituição); Art. 1076.º, n.º 2 do Código Civil (caução até ao valor correspondente a duas rendas); Art. 1081.º, n.º 1 do Código Civil (desocupação e entrega com as reparações devidas).</w:t>
      </w:r>
    </w:p>
    <w:sectPr>
      <w:headerReference w:type="default" r:id="rId7"/>
      <w:footerReference w:type="default" r:id="rId8"/>
      <w:pgSz w:w="11906" w:h="16838" w:orient="portrait"/>
      <w:pgMar w:top="1000" w:right="1080" w:bottom="11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Gerado com Aluseg.com — modelos gratuitos para senhorios · app.aluseg.com · 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4"/>
        <w:szCs w:val="14"/>
      </w:rPr>
      <w:t xml:space="preserve">/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5869" w:sz="12" w:space="6"/>
      </w:pBdr>
      <w:tabs>
        <w:tab w:val="right" w:pos="9746"/>
      </w:tabs>
    </w:pPr>
    <w:r>
      <w:drawing>
        <wp:inline distT="0" distB="0" distL="0" distR="0">
          <wp:extent cx="1123950" cy="4191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5B6770"/>
        <w:sz w:val="14"/>
        <w:szCs w:val="14"/>
      </w:rPr>
      <w:t xml:space="preserve">	Modelos gratuitos para senhorios · aluseg.com/documentos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c8p64zfyt2x5fzl_xkmdh" Type="http://schemas.openxmlformats.org/officeDocument/2006/relationships/hyperlink" Target="https://app.aluseg.com/login?mode=signup&amp;utm_source=documento&amp;utm_medium=docx&amp;utm_campaign=vistoria-de-saida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dbdbe0c4b8568ee3ca6a749cbb83f546f43ead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2026-08-15T07:59:17.046Z</dcterms:created>
  <dcterms:modified xsi:type="dcterms:W3CDTF">2026-08-15T07:59:17.046Z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